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66DFE">
      <w:pPr>
        <w:spacing w:after="0" w:line="56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北京理工大学人工智能学院研究生</w:t>
      </w:r>
      <w:r>
        <w:rPr>
          <w:rFonts w:hint="eastAsia" w:ascii="方正小标宋简体" w:hAnsi="Times New Roman" w:eastAsia="方正小标宋简体" w:cs="Times New Roman"/>
          <w:sz w:val="44"/>
          <w:szCs w:val="44"/>
          <w:lang w:eastAsia="zh-CN"/>
        </w:rPr>
        <w:t>学业奖学金</w:t>
      </w:r>
      <w:r>
        <w:rPr>
          <w:rFonts w:hint="eastAsia" w:ascii="方正小标宋简体" w:hAnsi="Times New Roman" w:eastAsia="方正小标宋简体" w:cs="Times New Roman"/>
          <w:sz w:val="44"/>
          <w:szCs w:val="44"/>
        </w:rPr>
        <w:t>评审细则</w:t>
      </w:r>
    </w:p>
    <w:p w14:paraId="7CC79250">
      <w:pPr>
        <w:spacing w:after="0" w:line="560" w:lineRule="exact"/>
        <w:jc w:val="both"/>
        <w:rPr>
          <w:rFonts w:ascii="Times New Roman" w:hAnsi="Times New Roman" w:eastAsia="仿宋_GB2312" w:cs="Times New Roman"/>
          <w:sz w:val="32"/>
          <w:szCs w:val="32"/>
        </w:rPr>
      </w:pPr>
    </w:p>
    <w:p w14:paraId="1E62406B">
      <w:pPr>
        <w:spacing w:after="0" w:line="560" w:lineRule="exact"/>
        <w:jc w:val="center"/>
        <w:rPr>
          <w:rFonts w:hint="eastAsia" w:ascii="黑体" w:hAnsi="黑体" w:eastAsia="黑体" w:cs="Times New Roman"/>
          <w:sz w:val="32"/>
          <w:szCs w:val="32"/>
        </w:rPr>
      </w:pPr>
      <w:r>
        <w:rPr>
          <w:rFonts w:hint="eastAsia" w:ascii="黑体" w:hAnsi="黑体" w:eastAsia="黑体" w:cs="Times New Roman"/>
          <w:sz w:val="32"/>
          <w:szCs w:val="32"/>
        </w:rPr>
        <w:t>第一章 总则</w:t>
      </w:r>
    </w:p>
    <w:p w14:paraId="3A4E04BD">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第一条</w:t>
      </w:r>
      <w:r>
        <w:rPr>
          <w:rFonts w:hint="eastAsia" w:ascii="Times New Roman" w:hAnsi="Times New Roman" w:eastAsia="仿宋_GB2312" w:cs="Times New Roman"/>
          <w:sz w:val="32"/>
          <w:szCs w:val="32"/>
        </w:rPr>
        <w:t xml:space="preserve"> 为深入贯彻落实《教育强国建设规划纲要(2024—2035年)》，完善立德树人落实机制，激励研究生勤奋学习、潜心科研、勇于创新、积极进取，培养“明德致远、宽厚基础、精深求是、包容创新”的领军领导人才，在全面实行研究生教育收费制度的情况下更好地奖励支持研究生顺利完成学业，根据《财政部、教育部、人力资源社会保障部、退役军人部、中央军委国防动员部关于印发&lt;学生资助资金管理办法&gt;的通知》（财教〔2021〕310号）、《关于调整高等教育阶段和高中阶段国家奖助学金政策的通知》（财教〔2024〕181号）及国家相关政策，结合学校和人工智能学院研究生学业奖学金评定工作实际情况，制定本细则。</w:t>
      </w:r>
    </w:p>
    <w:p w14:paraId="5E18A585">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第二条</w:t>
      </w:r>
      <w:r>
        <w:rPr>
          <w:rFonts w:hint="eastAsia" w:ascii="Times New Roman" w:hAnsi="Times New Roman" w:eastAsia="仿宋_GB2312" w:cs="Times New Roman"/>
          <w:sz w:val="32"/>
          <w:szCs w:val="32"/>
        </w:rPr>
        <w:t xml:space="preserve"> 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评审坚持公开、公平、公正、择优原则，以研究生在基本学制内取得的学术科技创新成果为主要评价依据，同时综合考察其思想政治表现、社会工作、集体服务、志愿实践和荣誉表现等。</w:t>
      </w:r>
    </w:p>
    <w:p w14:paraId="64BEDE43">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第三条</w:t>
      </w:r>
      <w:r>
        <w:rPr>
          <w:rFonts w:hint="eastAsia" w:ascii="Times New Roman" w:hAnsi="Times New Roman" w:eastAsia="仿宋_GB2312" w:cs="Times New Roman"/>
          <w:sz w:val="32"/>
          <w:szCs w:val="32"/>
        </w:rPr>
        <w:t xml:space="preserve"> 硕士研究生和博士研究生分别评审、分别排序。研究生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综合成绩满分为100分，由学术科技创新成果成绩和综合测评成绩两部分组成，其中学术科技创新成果占80%，综合测评占20%。</w:t>
      </w:r>
    </w:p>
    <w:p w14:paraId="3FFD4129">
      <w:pPr>
        <w:spacing w:after="0" w:line="560" w:lineRule="exact"/>
        <w:jc w:val="both"/>
        <w:rPr>
          <w:rFonts w:ascii="Times New Roman" w:hAnsi="Times New Roman" w:eastAsia="仿宋_GB2312" w:cs="Times New Roman"/>
          <w:sz w:val="32"/>
          <w:szCs w:val="32"/>
        </w:rPr>
      </w:pPr>
    </w:p>
    <w:p w14:paraId="2446BDC0">
      <w:pPr>
        <w:spacing w:after="0" w:line="560" w:lineRule="exact"/>
        <w:jc w:val="center"/>
        <w:rPr>
          <w:rFonts w:hint="eastAsia" w:ascii="黑体" w:hAnsi="黑体" w:eastAsia="黑体" w:cs="Times New Roman"/>
          <w:sz w:val="32"/>
          <w:szCs w:val="32"/>
        </w:rPr>
      </w:pPr>
      <w:r>
        <w:rPr>
          <w:rFonts w:hint="eastAsia" w:ascii="黑体" w:hAnsi="黑体" w:eastAsia="黑体" w:cs="Times New Roman"/>
          <w:sz w:val="32"/>
          <w:szCs w:val="32"/>
        </w:rPr>
        <w:t>第二章 基本条件</w:t>
      </w:r>
    </w:p>
    <w:p w14:paraId="48EA3FD2">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第四条</w:t>
      </w:r>
      <w:r>
        <w:rPr>
          <w:rFonts w:hint="eastAsia" w:ascii="Times New Roman" w:hAnsi="Times New Roman" w:eastAsia="仿宋_GB2312" w:cs="Times New Roman"/>
          <w:sz w:val="32"/>
          <w:szCs w:val="32"/>
        </w:rPr>
        <w:t xml:space="preserve"> 申请研究生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的研究生，应符合学校当年度研究生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评定通知规定的参评范围及基本条件。</w:t>
      </w:r>
    </w:p>
    <w:p w14:paraId="50614F8D">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热爱社会主义祖国，拥护中国共产党的领导；</w:t>
      </w:r>
    </w:p>
    <w:p w14:paraId="493C7C18">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2、遵守宪法和法律，遵守高等学校规章制度；</w:t>
      </w:r>
    </w:p>
    <w:p w14:paraId="68A86C23">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3、诚实守信，品学兼优；</w:t>
      </w:r>
    </w:p>
    <w:p w14:paraId="5D9F49A8">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4、积极参与科学研究和社会实践，创新成果符合学校和各培养单位评定要求。</w:t>
      </w:r>
    </w:p>
    <w:p w14:paraId="42D9A13A">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第五条</w:t>
      </w:r>
      <w:r>
        <w:rPr>
          <w:rFonts w:hint="eastAsia" w:ascii="Times New Roman" w:hAnsi="Times New Roman" w:eastAsia="仿宋_GB2312" w:cs="Times New Roman"/>
          <w:sz w:val="32"/>
          <w:szCs w:val="32"/>
        </w:rPr>
        <w:t xml:space="preserve"> 参评研究生创新成果原则上应至少满足下列基本条件之一：</w:t>
      </w:r>
    </w:p>
    <w:p w14:paraId="320AF6D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（一）以第一作者在国内外高水平学术刊物或学术会议上正式发表论文，或正式出版学术著作；</w:t>
      </w:r>
    </w:p>
    <w:p w14:paraId="69ABE4C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（二）以第一发明人获得国内外授权发明专利（含国防专利）一项，或申请并受理发明专利（含国防专利）两项；</w:t>
      </w:r>
    </w:p>
    <w:p w14:paraId="027578C0">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（三）获得国际、全国高水平学科或科技创新竞赛一等奖及以上奖励且排名前三；</w:t>
      </w:r>
    </w:p>
    <w:p w14:paraId="6FA5FCEB">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（四）获得省部级及以上科技成果奖励；</w:t>
      </w:r>
    </w:p>
    <w:p w14:paraId="4DE4B2CB">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（五）参与编制并获批国际、国家、行业标准（含国军标），且有本人署名；</w:t>
      </w:r>
    </w:p>
    <w:p w14:paraId="59ABE40B">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（六）取得重大装备制造技术突破，并能够提供相关证明材料；</w:t>
      </w:r>
    </w:p>
    <w:p w14:paraId="32587315">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（七）在“三报一刊”公开发表作品，或参与撰写的研究报告、政策专报获上级部门批示或采纳；</w:t>
      </w:r>
    </w:p>
    <w:p w14:paraId="0643B47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（八）其他作出特殊贡献或取得显著经济、社会效益的研究成果。</w:t>
      </w:r>
    </w:p>
    <w:p w14:paraId="335E1015">
      <w:pPr>
        <w:widowControl/>
        <w:spacing w:after="0" w:line="560" w:lineRule="exact"/>
        <w:ind w:firstLine="643"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第六条</w:t>
      </w:r>
      <w:r>
        <w:rPr>
          <w:rFonts w:hint="eastAsia" w:ascii="Times New Roman" w:hAnsi="Times New Roman" w:eastAsia="仿宋_GB2312" w:cs="Times New Roman"/>
          <w:sz w:val="32"/>
          <w:szCs w:val="32"/>
        </w:rPr>
        <w:t xml:space="preserve"> 用于申请研究生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的成果，应符合学校当年度</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定工作关于成果有效时间、署名单位、成果状态等有关规定。研究生获得的创新成果需以“北京理工大学”为第一署名单位，导师为第一作者、研究生为第二作者的创新成果等同于研究生第一作者。学年度成果产出计算时间为：上年9月 1日至当年8月31日，同一成果不能在不同年度重复使用。</w:t>
      </w:r>
    </w:p>
    <w:p w14:paraId="56C64DF9">
      <w:pPr>
        <w:spacing w:after="0" w:line="560" w:lineRule="exact"/>
        <w:ind w:firstLine="643"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第七条</w:t>
      </w:r>
      <w:r>
        <w:rPr>
          <w:rFonts w:hint="eastAsia" w:ascii="Times New Roman" w:hAnsi="Times New Roman" w:eastAsia="仿宋_GB2312" w:cs="Times New Roman"/>
          <w:sz w:val="32"/>
          <w:szCs w:val="32"/>
        </w:rPr>
        <w:t xml:space="preserve"> 上一学年有下列情况之一者，不能参评本年度研究生学业奖学金：</w:t>
      </w:r>
    </w:p>
    <w:p w14:paraId="01FE93E4">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1、违反国家法律、校纪校规受到纪律处分者以及有扰乱社会秩序、校园秩序或扰乱公共安全者；</w:t>
      </w:r>
    </w:p>
    <w:p w14:paraId="1A404577">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2、伪造材料、重复使用成果，有抄袭剽窃、弄虚作假等学术不端行为经查证属实者；</w:t>
      </w:r>
    </w:p>
    <w:p w14:paraId="4FE2134F">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3、学年内课程有不及格现象者；</w:t>
      </w:r>
    </w:p>
    <w:p w14:paraId="583A77AF">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4、参评学年学籍状态处于休学、保留学籍者；</w:t>
      </w:r>
    </w:p>
    <w:p w14:paraId="06E5234E">
      <w:pPr>
        <w:spacing w:after="0" w:line="56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5、学校认定的其他情况。</w:t>
      </w:r>
    </w:p>
    <w:p w14:paraId="6EFAEA7A">
      <w:pPr>
        <w:spacing w:after="0" w:line="560" w:lineRule="exact"/>
        <w:jc w:val="both"/>
        <w:rPr>
          <w:rFonts w:ascii="Times New Roman" w:hAnsi="Times New Roman" w:eastAsia="仿宋_GB2312" w:cs="Times New Roman"/>
          <w:sz w:val="32"/>
          <w:szCs w:val="32"/>
        </w:rPr>
      </w:pPr>
    </w:p>
    <w:p w14:paraId="128FE0AC">
      <w:pPr>
        <w:spacing w:after="0" w:line="560" w:lineRule="exact"/>
        <w:jc w:val="center"/>
        <w:rPr>
          <w:rFonts w:hint="eastAsia" w:ascii="黑体" w:hAnsi="黑体" w:eastAsia="黑体" w:cs="Times New Roman"/>
          <w:sz w:val="32"/>
          <w:szCs w:val="32"/>
        </w:rPr>
      </w:pPr>
      <w:r>
        <w:rPr>
          <w:rFonts w:ascii="黑体" w:hAnsi="黑体" w:eastAsia="黑体" w:cs="Times New Roman"/>
          <w:sz w:val="32"/>
          <w:szCs w:val="32"/>
        </w:rPr>
        <w:t>第</w:t>
      </w:r>
      <w:r>
        <w:rPr>
          <w:rFonts w:hint="eastAsia" w:ascii="黑体" w:hAnsi="黑体" w:eastAsia="黑体" w:cs="Times New Roman"/>
          <w:sz w:val="32"/>
          <w:szCs w:val="32"/>
        </w:rPr>
        <w:t>三</w:t>
      </w:r>
      <w:r>
        <w:rPr>
          <w:rFonts w:ascii="黑体" w:hAnsi="黑体" w:eastAsia="黑体" w:cs="Times New Roman"/>
          <w:sz w:val="32"/>
          <w:szCs w:val="32"/>
        </w:rPr>
        <w:t>章 综合评价办法</w:t>
      </w:r>
    </w:p>
    <w:p w14:paraId="762A6215">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八</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综合评价全面考察申请人的思想政治品德、学术科技创新成果和综合表现。</w:t>
      </w:r>
    </w:p>
    <w:p w14:paraId="5301BC4F">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综合评价成绩计算公式为：</w:t>
      </w:r>
    </w:p>
    <w:p w14:paraId="368D0544">
      <w:pPr>
        <w:pStyle w:val="35"/>
      </w:pPr>
      <w:r>
        <w:tab/>
      </w:r>
      <w:r>
        <w:rPr>
          <w:position w:val="-12"/>
        </w:rPr>
        <w:object>
          <v:shape id="_x0000_i1025" o:spt="75" type="#_x0000_t75" style="height:20.4pt;width:184.8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p>
    <w:p w14:paraId="72E6E57D">
      <w:p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w:t>
      </w:r>
      <w:r>
        <w:rPr>
          <w:rFonts w:hint="eastAsia" w:ascii="Times New Roman" w:hAnsi="Times New Roman" w:eastAsia="仿宋_GB2312" w:cs="Times New Roman"/>
          <w:sz w:val="32"/>
          <w:szCs w:val="32"/>
        </w:rPr>
        <w:t>，</w:t>
      </w:r>
      <w:r>
        <w:rPr>
          <w:rFonts w:ascii="Times New Roman" w:hAnsi="Times New Roman" w:eastAsia="仿宋_GB2312" w:cs="Times New Roman"/>
          <w:i/>
          <w:iCs/>
          <w:sz w:val="32"/>
          <w:szCs w:val="32"/>
        </w:rPr>
        <w:t>S</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综合评价成绩，满分100分；</w:t>
      </w:r>
      <w:r>
        <w:rPr>
          <w:rFonts w:ascii="Times New Roman" w:hAnsi="Times New Roman" w:eastAsia="仿宋_GB2312" w:cs="Times New Roman"/>
          <w:i/>
          <w:iCs/>
          <w:sz w:val="32"/>
          <w:szCs w:val="32"/>
        </w:rPr>
        <w:t>A</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思想政治品德考核结果，取值为0或1；</w:t>
      </w:r>
      <w:r>
        <w:rPr>
          <w:rFonts w:ascii="Times New Roman" w:hAnsi="Times New Roman" w:eastAsia="仿宋_GB2312" w:cs="Times New Roman"/>
          <w:i/>
          <w:iCs/>
          <w:sz w:val="32"/>
          <w:szCs w:val="32"/>
        </w:rPr>
        <w:t>B</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学术科技创新成果得分，满分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w:t>
      </w:r>
      <w:r>
        <w:rPr>
          <w:rFonts w:ascii="Times New Roman" w:hAnsi="Times New Roman" w:eastAsia="仿宋_GB2312" w:cs="Times New Roman"/>
          <w:i/>
          <w:iCs/>
          <w:sz w:val="32"/>
          <w:szCs w:val="32"/>
        </w:rPr>
        <w:t>C</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综合测评得分，满分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分。各项得分按照本细则及相关附录计算。</w:t>
      </w:r>
      <w:r>
        <w:rPr>
          <w:rFonts w:ascii="Times New Roman" w:hAnsi="Times New Roman" w:eastAsia="仿宋_GB2312" w:cs="Times New Roman"/>
          <w:i/>
          <w:iCs/>
          <w:sz w:val="32"/>
          <w:szCs w:val="32"/>
        </w:rPr>
        <w:t>B</w:t>
      </w:r>
      <w:r>
        <w:rPr>
          <w:rFonts w:ascii="Times New Roman" w:hAnsi="Times New Roman" w:eastAsia="仿宋_GB2312" w:cs="Times New Roman"/>
          <w:sz w:val="32"/>
          <w:szCs w:val="32"/>
        </w:rPr>
        <w:t>、</w:t>
      </w:r>
      <w:r>
        <w:rPr>
          <w:rFonts w:ascii="Times New Roman" w:hAnsi="Times New Roman" w:eastAsia="仿宋_GB2312" w:cs="Times New Roman"/>
          <w:i/>
          <w:iCs/>
          <w:sz w:val="32"/>
          <w:szCs w:val="32"/>
        </w:rPr>
        <w:t>C</w:t>
      </w:r>
      <w:r>
        <w:rPr>
          <w:rFonts w:ascii="Times New Roman" w:hAnsi="Times New Roman" w:eastAsia="仿宋_GB2312" w:cs="Times New Roman"/>
          <w:sz w:val="32"/>
          <w:szCs w:val="32"/>
        </w:rPr>
        <w:t>各自达到该项最高分后不再累计。</w:t>
      </w:r>
    </w:p>
    <w:p w14:paraId="1C35E47C">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第十条</w:t>
      </w:r>
      <w:r>
        <w:rPr>
          <w:rFonts w:ascii="Times New Roman" w:hAnsi="Times New Roman" w:eastAsia="仿宋_GB2312" w:cs="Times New Roman"/>
          <w:sz w:val="32"/>
          <w:szCs w:val="32"/>
        </w:rPr>
        <w:t xml:space="preserve"> 思想政治品德</w:t>
      </w:r>
      <w:r>
        <w:rPr>
          <w:rFonts w:hint="eastAsia" w:ascii="Times New Roman" w:hAnsi="Times New Roman" w:eastAsia="仿宋_GB2312" w:cs="Times New Roman"/>
          <w:sz w:val="32"/>
          <w:szCs w:val="32"/>
        </w:rPr>
        <w:t>（</w:t>
      </w:r>
      <w:r>
        <w:rPr>
          <w:rFonts w:hint="eastAsia" w:ascii="Times New Roman" w:hAnsi="Times New Roman" w:eastAsia="仿宋_GB2312" w:cs="Times New Roman"/>
          <w:i/>
          <w:iCs/>
          <w:sz w:val="32"/>
          <w:szCs w:val="32"/>
        </w:rPr>
        <w:t>A</w:t>
      </w:r>
      <w:r>
        <w:rPr>
          <w:rFonts w:hint="eastAsia" w:ascii="Times New Roman" w:hAnsi="Times New Roman" w:eastAsia="仿宋_GB2312" w:cs="Times New Roman"/>
          <w:sz w:val="32"/>
          <w:szCs w:val="32"/>
        </w:rPr>
        <w:t>）是研究生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评审的基本条件，实行一票否决制。思想政治品德考核主要考察申请人的政治素质、道德修养、遵守法律法规和校纪校规情况、学术诚信以及日常表现等，由学院学生工作办公室负责审核。</w:t>
      </w:r>
    </w:p>
    <w:p w14:paraId="15957F3D">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第十一条</w:t>
      </w:r>
      <w:r>
        <w:rPr>
          <w:rFonts w:ascii="Times New Roman" w:hAnsi="Times New Roman" w:eastAsia="仿宋_GB2312" w:cs="Times New Roman"/>
          <w:sz w:val="32"/>
          <w:szCs w:val="32"/>
        </w:rPr>
        <w:t xml:space="preserve"> 学术科技创新成果（</w:t>
      </w:r>
      <w:r>
        <w:rPr>
          <w:rFonts w:ascii="Times New Roman" w:hAnsi="Times New Roman" w:eastAsia="仿宋_GB2312" w:cs="Times New Roman"/>
          <w:i/>
          <w:iCs/>
          <w:sz w:val="32"/>
          <w:szCs w:val="32"/>
        </w:rPr>
        <w:t>B</w:t>
      </w:r>
      <w:r>
        <w:rPr>
          <w:rFonts w:ascii="Times New Roman" w:hAnsi="Times New Roman" w:eastAsia="仿宋_GB2312" w:cs="Times New Roman"/>
          <w:sz w:val="32"/>
          <w:szCs w:val="32"/>
        </w:rPr>
        <w:t>）重点评价申请人在研究生期间取得的科研、学术成果和创新实践表现，包括学术论文、发明专利、科研成果奖励、学术著作、软件著作权、国际和国家行业标准、重大装备制造技术突破、科技创新竞赛、优秀会议论文奖、科研项目及人才计划等。</w:t>
      </w:r>
      <w:r>
        <w:rPr>
          <w:rFonts w:eastAsia="仿宋_GB2312"/>
          <w:sz w:val="32"/>
          <w:szCs w:val="32"/>
        </w:rPr>
        <w:t>具体成果类别、计分标准、成果贡献系数及成果认定规则，按照</w:t>
      </w:r>
      <w:r>
        <w:rPr>
          <w:rFonts w:ascii="Times New Roman" w:hAnsi="Times New Roman" w:eastAsia="仿宋_GB2312" w:cs="Times New Roman"/>
          <w:b/>
          <w:bCs/>
          <w:sz w:val="32"/>
          <w:szCs w:val="32"/>
        </w:rPr>
        <w:t>《附录A：研究生学术科技创新成果评定和评分办法》</w:t>
      </w:r>
      <w:r>
        <w:rPr>
          <w:rFonts w:ascii="Times New Roman" w:hAnsi="Times New Roman" w:eastAsia="仿宋_GB2312" w:cs="Times New Roman"/>
          <w:sz w:val="32"/>
          <w:szCs w:val="32"/>
        </w:rPr>
        <w:t>执行。</w:t>
      </w:r>
    </w:p>
    <w:p w14:paraId="2E760A3B">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第十二条</w:t>
      </w:r>
      <w:r>
        <w:rPr>
          <w:rFonts w:ascii="Times New Roman" w:hAnsi="Times New Roman" w:eastAsia="仿宋_GB2312" w:cs="Times New Roman"/>
          <w:sz w:val="32"/>
          <w:szCs w:val="32"/>
        </w:rPr>
        <w:t xml:space="preserve"> 综合测评（</w:t>
      </w:r>
      <w:r>
        <w:rPr>
          <w:rFonts w:ascii="Times New Roman" w:hAnsi="Times New Roman" w:eastAsia="仿宋_GB2312" w:cs="Times New Roman"/>
          <w:i/>
          <w:iCs/>
          <w:sz w:val="32"/>
          <w:szCs w:val="32"/>
        </w:rPr>
        <w:t>C</w:t>
      </w:r>
      <w:r>
        <w:rPr>
          <w:rFonts w:ascii="Times New Roman" w:hAnsi="Times New Roman" w:eastAsia="仿宋_GB2312" w:cs="Times New Roman"/>
          <w:sz w:val="32"/>
          <w:szCs w:val="32"/>
        </w:rPr>
        <w:t>）重点评价申请人在参评期间的社会工作、集体服务、志愿服务、社会实践、校园文化、荣誉表彰以及其他综合表现。</w:t>
      </w:r>
      <w:r>
        <w:rPr>
          <w:rFonts w:eastAsia="仿宋_GB2312"/>
          <w:sz w:val="32"/>
          <w:szCs w:val="32"/>
        </w:rPr>
        <w:t>具体评价项目、计分标准和认定办法按照</w:t>
      </w:r>
      <w:r>
        <w:rPr>
          <w:rFonts w:ascii="Times New Roman" w:hAnsi="Times New Roman" w:eastAsia="仿宋_GB2312" w:cs="Times New Roman"/>
          <w:b/>
          <w:bCs/>
          <w:sz w:val="32"/>
          <w:szCs w:val="32"/>
        </w:rPr>
        <w:t>《附录B：研究生</w:t>
      </w:r>
      <w:r>
        <w:rPr>
          <w:rFonts w:hint="eastAsia" w:ascii="Times New Roman" w:hAnsi="Times New Roman" w:eastAsia="仿宋_GB2312" w:cs="Times New Roman"/>
          <w:b/>
          <w:bCs/>
          <w:sz w:val="32"/>
          <w:szCs w:val="32"/>
          <w:lang w:eastAsia="zh-CN"/>
        </w:rPr>
        <w:t>学业奖学金</w:t>
      </w:r>
      <w:r>
        <w:rPr>
          <w:rFonts w:ascii="Times New Roman" w:hAnsi="Times New Roman" w:eastAsia="仿宋_GB2312" w:cs="Times New Roman"/>
          <w:b/>
          <w:bCs/>
          <w:sz w:val="32"/>
          <w:szCs w:val="32"/>
        </w:rPr>
        <w:t>综合测评办法》</w:t>
      </w:r>
      <w:r>
        <w:rPr>
          <w:rFonts w:ascii="Times New Roman" w:hAnsi="Times New Roman" w:eastAsia="仿宋_GB2312" w:cs="Times New Roman"/>
          <w:sz w:val="32"/>
          <w:szCs w:val="32"/>
        </w:rPr>
        <w:t>执行。</w:t>
      </w:r>
    </w:p>
    <w:p w14:paraId="15BCA462">
      <w:pPr>
        <w:widowControl/>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 xml:space="preserve">第十三条 </w:t>
      </w:r>
      <w:r>
        <w:rPr>
          <w:rFonts w:ascii="Times New Roman" w:hAnsi="Times New Roman" w:eastAsia="仿宋_GB2312" w:cs="Times New Roman"/>
          <w:sz w:val="32"/>
          <w:szCs w:val="32"/>
        </w:rPr>
        <w:t>同一成果或同一事项同时符合多个评分项目的，原则上按照最高分项目计分，不重复累计。已经纳入学术科技创新成果（</w:t>
      </w:r>
      <w:r>
        <w:rPr>
          <w:rFonts w:ascii="Times New Roman" w:hAnsi="Times New Roman" w:eastAsia="仿宋_GB2312" w:cs="Times New Roman"/>
          <w:i/>
          <w:iCs/>
          <w:sz w:val="32"/>
          <w:szCs w:val="32"/>
        </w:rPr>
        <w:t>B</w:t>
      </w:r>
      <w:r>
        <w:rPr>
          <w:rFonts w:ascii="Times New Roman" w:hAnsi="Times New Roman" w:eastAsia="仿宋_GB2312" w:cs="Times New Roman"/>
          <w:sz w:val="32"/>
          <w:szCs w:val="32"/>
        </w:rPr>
        <w:t>）计分的科研奖励、科技创新竞赛、优秀论文奖等成果，不再纳入综合测评（</w:t>
      </w:r>
      <w:r>
        <w:rPr>
          <w:rFonts w:ascii="Times New Roman" w:hAnsi="Times New Roman" w:eastAsia="仿宋_GB2312" w:cs="Times New Roman"/>
          <w:i/>
          <w:iCs/>
          <w:sz w:val="32"/>
          <w:szCs w:val="32"/>
        </w:rPr>
        <w:t>C</w:t>
      </w:r>
      <w:r>
        <w:rPr>
          <w:rFonts w:ascii="Times New Roman" w:hAnsi="Times New Roman" w:eastAsia="仿宋_GB2312" w:cs="Times New Roman"/>
          <w:sz w:val="32"/>
          <w:szCs w:val="32"/>
        </w:rPr>
        <w:t>）重复计分。对成果类别、等级、本人实际贡献或是否属于重复成果存在争议的，由学院研究生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评审委员会研究认定。</w:t>
      </w:r>
    </w:p>
    <w:p w14:paraId="2ED38E1E">
      <w:pPr>
        <w:widowControl/>
        <w:spacing w:after="0" w:line="560" w:lineRule="exact"/>
        <w:ind w:firstLine="640" w:firstLineChars="200"/>
        <w:jc w:val="both"/>
        <w:rPr>
          <w:rFonts w:ascii="Times New Roman" w:hAnsi="Times New Roman" w:eastAsia="仿宋_GB2312" w:cs="Times New Roman"/>
          <w:sz w:val="32"/>
          <w:szCs w:val="32"/>
        </w:rPr>
      </w:pPr>
    </w:p>
    <w:p w14:paraId="1EBB15A9">
      <w:pPr>
        <w:spacing w:after="0" w:line="560" w:lineRule="exact"/>
        <w:jc w:val="center"/>
        <w:rPr>
          <w:rFonts w:hint="eastAsia" w:ascii="黑体" w:hAnsi="黑体" w:eastAsia="黑体" w:cs="Times New Roman"/>
          <w:sz w:val="32"/>
          <w:szCs w:val="32"/>
        </w:rPr>
      </w:pPr>
      <w:r>
        <w:rPr>
          <w:rFonts w:hint="eastAsia" w:ascii="黑体" w:hAnsi="黑体" w:eastAsia="黑体" w:cs="Times New Roman"/>
          <w:sz w:val="32"/>
          <w:szCs w:val="32"/>
        </w:rPr>
        <w:t>第四章 申请与评审</w:t>
      </w:r>
    </w:p>
    <w:p w14:paraId="0A3AB0DE">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第十四条</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学业奖学金</w:t>
      </w:r>
      <w:r>
        <w:rPr>
          <w:rFonts w:hint="eastAsia" w:ascii="Times New Roman" w:hAnsi="Times New Roman" w:eastAsia="仿宋_GB2312" w:cs="Times New Roman"/>
          <w:sz w:val="32"/>
          <w:szCs w:val="32"/>
        </w:rPr>
        <w:t>适用对象为纳入全国研究生招生计划、基本学制内的在籍全日制研究生（有固定工资收入的除外）、国防科工及军队定向研究生和少数民族高层次骨干人才研究生。获得奖励的研究生须具有中华人民共和国国籍。</w:t>
      </w:r>
    </w:p>
    <w:p w14:paraId="089FD82B">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第十五条</w:t>
      </w:r>
      <w:r>
        <w:rPr>
          <w:rFonts w:hint="eastAsia" w:ascii="Times New Roman" w:hAnsi="Times New Roman" w:eastAsia="仿宋_GB2312" w:cs="Times New Roman"/>
          <w:sz w:val="32"/>
          <w:szCs w:val="32"/>
        </w:rPr>
        <w:t xml:space="preserve"> 学院研究生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评审委员会主任委员负责组织委员会委员对申请</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的研究生进行评审。</w:t>
      </w:r>
    </w:p>
    <w:p w14:paraId="4016555F">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rPr>
        <w:t>六</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评审委员会</w:t>
      </w:r>
      <w:r>
        <w:rPr>
          <w:rFonts w:ascii="Times New Roman" w:hAnsi="Times New Roman" w:eastAsia="仿宋_GB2312" w:cs="Times New Roman"/>
          <w:sz w:val="32"/>
          <w:szCs w:val="32"/>
        </w:rPr>
        <w:t>确定本单位获奖学生名单后，将在学院内进行不少于5个工作日的公示。公示无异议后，提交学校进行审定。</w:t>
      </w:r>
    </w:p>
    <w:p w14:paraId="1E8DB9C0">
      <w:pPr>
        <w:spacing w:after="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第十七条</w:t>
      </w:r>
      <w:r>
        <w:rPr>
          <w:rFonts w:hint="eastAsia" w:ascii="Times New Roman" w:hAnsi="Times New Roman" w:eastAsia="仿宋_GB2312" w:cs="Times New Roman"/>
          <w:sz w:val="32"/>
          <w:szCs w:val="32"/>
        </w:rPr>
        <w:t xml:space="preserve"> 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的评审工作，坚持公开、公平、公正、择优的原则，严格执行国家有关教育法规，杜绝弄虚作假。如发现学生有弄虚作假、违反学术诚信的行为，一经查实，取消该生在校期间</w:t>
      </w:r>
      <w:r>
        <w:rPr>
          <w:rFonts w:hint="eastAsia" w:ascii="Times New Roman" w:hAnsi="Times New Roman" w:eastAsia="仿宋_GB2312" w:cs="Times New Roman"/>
          <w:sz w:val="32"/>
          <w:szCs w:val="32"/>
          <w:lang w:val="en-US" w:eastAsia="zh-CN"/>
        </w:rPr>
        <w:t>学业奖学金评审</w:t>
      </w:r>
      <w:r>
        <w:rPr>
          <w:rFonts w:hint="eastAsia" w:ascii="Times New Roman" w:hAnsi="Times New Roman" w:eastAsia="仿宋_GB2312" w:cs="Times New Roman"/>
          <w:sz w:val="32"/>
          <w:szCs w:val="32"/>
        </w:rPr>
        <w:t>资格，收回该生已获得</w:t>
      </w:r>
      <w:r>
        <w:rPr>
          <w:rFonts w:hint="eastAsia" w:ascii="Times New Roman" w:hAnsi="Times New Roman" w:eastAsia="仿宋_GB2312" w:cs="Times New Roman"/>
          <w:sz w:val="32"/>
          <w:szCs w:val="32"/>
          <w:lang w:val="en-US" w:eastAsia="zh-CN"/>
        </w:rPr>
        <w:t>奖学金</w:t>
      </w:r>
      <w:r>
        <w:rPr>
          <w:rFonts w:hint="eastAsia" w:ascii="Times New Roman" w:hAnsi="Times New Roman" w:eastAsia="仿宋_GB2312" w:cs="Times New Roman"/>
          <w:sz w:val="32"/>
          <w:szCs w:val="32"/>
        </w:rPr>
        <w:t>，并根据《北京理工大学学生纪律处分条例》进行处理。</w:t>
      </w:r>
    </w:p>
    <w:p w14:paraId="6D4B9E84">
      <w:pPr>
        <w:spacing w:after="0" w:line="560" w:lineRule="exact"/>
        <w:jc w:val="center"/>
        <w:rPr>
          <w:rFonts w:hint="eastAsia" w:ascii="黑体" w:hAnsi="黑体" w:eastAsia="黑体" w:cs="Times New Roman"/>
          <w:sz w:val="32"/>
          <w:szCs w:val="32"/>
        </w:rPr>
      </w:pPr>
      <w:r>
        <w:rPr>
          <w:rFonts w:hint="eastAsia" w:ascii="黑体" w:hAnsi="黑体" w:eastAsia="黑体" w:cs="Times New Roman"/>
          <w:sz w:val="32"/>
          <w:szCs w:val="32"/>
        </w:rPr>
        <w:t>第五章 附则</w:t>
      </w:r>
    </w:p>
    <w:p w14:paraId="431413C9">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十八</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本细则相关规定与国家、学校当年度研究生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评定有关规定不一致的，以国家、学校最新规定为准。</w:t>
      </w:r>
    </w:p>
    <w:p w14:paraId="7447DAD6">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十九</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本细则未尽事宜，由北京理工大学人工智能学院研究生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评审委员会研究确定。</w:t>
      </w:r>
    </w:p>
    <w:p w14:paraId="03A33543">
      <w:pPr>
        <w:spacing w:after="0" w:line="56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二十</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本细则由北京理工</w:t>
      </w:r>
      <w:bookmarkStart w:id="0" w:name="_GoBack"/>
      <w:bookmarkEnd w:id="0"/>
      <w:r>
        <w:rPr>
          <w:rFonts w:ascii="Times New Roman" w:hAnsi="Times New Roman" w:eastAsia="仿宋_GB2312" w:cs="Times New Roman"/>
          <w:sz w:val="32"/>
          <w:szCs w:val="32"/>
        </w:rPr>
        <w:t>大学人工智能学院负责解释，自发布之日起施行。</w:t>
      </w:r>
    </w:p>
    <w:p w14:paraId="6EE3A3C6">
      <w:pPr>
        <w:spacing w:after="0" w:line="560" w:lineRule="exact"/>
        <w:ind w:firstLine="640" w:firstLineChars="200"/>
        <w:jc w:val="both"/>
        <w:rPr>
          <w:rFonts w:ascii="Times New Roman" w:hAnsi="Times New Roman" w:eastAsia="仿宋_GB2312" w:cs="Times New Roman"/>
          <w:sz w:val="32"/>
          <w:szCs w:val="32"/>
        </w:rPr>
      </w:pPr>
    </w:p>
    <w:p w14:paraId="5F208F4E">
      <w:pPr>
        <w:spacing w:after="0" w:line="560" w:lineRule="exact"/>
        <w:ind w:firstLine="3542" w:firstLineChars="1107"/>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北京理工大学人工智能学院</w:t>
      </w:r>
    </w:p>
    <w:p w14:paraId="273F0603">
      <w:pPr>
        <w:spacing w:after="0" w:line="560" w:lineRule="exact"/>
        <w:ind w:firstLine="3542" w:firstLineChars="1107"/>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月</w:t>
      </w:r>
    </w:p>
    <w:p w14:paraId="7823CDD0">
      <w:pPr>
        <w:spacing w:after="0" w:line="560" w:lineRule="exact"/>
        <w:jc w:val="both"/>
        <w:rPr>
          <w:rFonts w:ascii="Times New Roman" w:hAnsi="Times New Roman" w:eastAsia="仿宋_GB2312" w:cs="Times New Roman"/>
          <w:sz w:val="32"/>
          <w:szCs w:val="32"/>
        </w:rPr>
      </w:pPr>
    </w:p>
    <w:p w14:paraId="0743037B">
      <w:pPr>
        <w:widowControl/>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744481C1">
      <w:pPr>
        <w:spacing w:after="156" w:afterLines="50" w:line="560" w:lineRule="exact"/>
        <w:rPr>
          <w:rFonts w:hint="eastAsia" w:ascii="黑体" w:hAnsi="黑体" w:eastAsia="黑体" w:cs="Times New Roman"/>
          <w:sz w:val="32"/>
          <w:szCs w:val="32"/>
        </w:rPr>
      </w:pPr>
      <w:r>
        <w:rPr>
          <w:rFonts w:hint="eastAsia" w:ascii="黑体" w:hAnsi="黑体" w:eastAsia="黑体" w:cs="Times New Roman"/>
          <w:sz w:val="32"/>
          <w:szCs w:val="32"/>
        </w:rPr>
        <w:t>附录A：</w:t>
      </w:r>
      <w:r>
        <w:rPr>
          <w:rFonts w:ascii="黑体" w:hAnsi="黑体" w:eastAsia="黑体" w:cs="Times New Roman"/>
          <w:sz w:val="32"/>
          <w:szCs w:val="32"/>
        </w:rPr>
        <w:t>研究生学术科技创新成果评定和评分办法</w:t>
      </w:r>
    </w:p>
    <w:p w14:paraId="5ADCA962">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研究生学术科技创新成果评价坚持质量导向、创新导向和贡献导向，重点考察研究生在基本学制内取得的具有代表性的学术成果、科研成果和科技创新成果，以及申请人在相关成果中的实际贡献。</w:t>
      </w:r>
    </w:p>
    <w:p w14:paraId="65DE2427">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学术科技创新成果采用</w:t>
      </w:r>
      <w:r>
        <w:rPr>
          <w:rFonts w:ascii="Times New Roman" w:hAnsi="Times New Roman" w:eastAsia="仿宋_GB2312" w:cs="Times New Roman"/>
          <w:b/>
          <w:bCs/>
          <w:sz w:val="32"/>
          <w:szCs w:val="32"/>
        </w:rPr>
        <w:t>累计计分制</w:t>
      </w:r>
      <w:r>
        <w:rPr>
          <w:rFonts w:ascii="Times New Roman" w:hAnsi="Times New Roman" w:eastAsia="仿宋_GB2312" w:cs="Times New Roman"/>
          <w:sz w:val="32"/>
          <w:szCs w:val="32"/>
        </w:rPr>
        <w:t>。申请人符合本办法规定的不同成果可累计计分，学术科技创新成果原始累计得分达到或超过100分的，均按100分计。申请人申报的各项成果须经导师审核并签字确认，研究生期间参与科技创新活动取得的成果须经学院审核认定。</w:t>
      </w:r>
    </w:p>
    <w:p w14:paraId="2766CD16">
      <w:pPr>
        <w:spacing w:after="0" w:line="560" w:lineRule="exact"/>
        <w:ind w:firstLine="643" w:firstLineChars="200"/>
        <w:jc w:val="both"/>
        <w:rPr>
          <w:rFonts w:hint="eastAsia" w:ascii="黑体" w:hAnsi="黑体" w:eastAsia="黑体" w:cs="Times New Roman"/>
          <w:b/>
          <w:bCs/>
          <w:sz w:val="32"/>
          <w:szCs w:val="32"/>
        </w:rPr>
      </w:pPr>
      <w:r>
        <w:rPr>
          <w:rFonts w:ascii="黑体" w:hAnsi="黑体" w:eastAsia="黑体" w:cs="Times New Roman"/>
          <w:b/>
          <w:bCs/>
          <w:sz w:val="32"/>
          <w:szCs w:val="32"/>
        </w:rPr>
        <w:t>一、学术论文类</w:t>
      </w:r>
    </w:p>
    <w:p w14:paraId="2DD68D4D">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研究生正式发表的学术论文，根据论文类型、期刊或会议层级、作者贡献及期刊风险情况进行计分。</w:t>
      </w:r>
    </w:p>
    <w:p w14:paraId="3C0A6A92">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除N/S/C正刊论文外，论文得分按照以下公式计算：</w:t>
      </w:r>
    </w:p>
    <w:p w14:paraId="76A72858">
      <w:pPr>
        <w:pStyle w:val="35"/>
      </w:pPr>
      <w:r>
        <w:tab/>
      </w:r>
      <w:r>
        <w:rPr>
          <w:position w:val="-12"/>
        </w:rPr>
        <w:object>
          <v:shape id="_x0000_i1026" o:spt="75" type="#_x0000_t75" style="height:21.5pt;width:252.55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p>
    <w:p w14:paraId="05C3B8D9">
      <w:p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w:t>
      </w:r>
      <w:r>
        <w:rPr>
          <w:rFonts w:hint="eastAsia" w:ascii="Times New Roman" w:hAnsi="Times New Roman" w:eastAsia="仿宋_GB2312" w:cs="Times New Roman"/>
          <w:i/>
          <w:iCs/>
          <w:sz w:val="32"/>
          <w:szCs w:val="32"/>
        </w:rPr>
        <w:t>k</w:t>
      </w:r>
      <w:r>
        <w:rPr>
          <w:rFonts w:ascii="Times New Roman" w:hAnsi="Times New Roman" w:eastAsia="仿宋_GB2312" w:cs="Times New Roman"/>
          <w:sz w:val="32"/>
          <w:szCs w:val="32"/>
        </w:rPr>
        <w:t>为作者贡献系数，</w:t>
      </w:r>
      <w:r>
        <w:rPr>
          <w:rFonts w:hint="eastAsia" w:ascii="Times New Roman" w:hAnsi="Times New Roman" w:eastAsia="仿宋_GB2312" w:cs="Times New Roman"/>
          <w:i/>
          <w:iCs/>
          <w:sz w:val="32"/>
          <w:szCs w:val="32"/>
        </w:rPr>
        <w:t>p</w:t>
      </w:r>
      <w:r>
        <w:rPr>
          <w:rFonts w:ascii="Times New Roman" w:hAnsi="Times New Roman" w:eastAsia="仿宋_GB2312" w:cs="Times New Roman"/>
          <w:sz w:val="32"/>
          <w:szCs w:val="32"/>
        </w:rPr>
        <w:t>为期刊风险系数。</w:t>
      </w:r>
    </w:p>
    <w:p w14:paraId="4097207E">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作者贡献系数</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按以下规则确定：</w:t>
      </w:r>
    </w:p>
    <w:p w14:paraId="00C65C71">
      <w:pPr>
        <w:pStyle w:val="30"/>
        <w:numPr>
          <w:ilvl w:val="0"/>
          <w:numId w:val="1"/>
        </w:num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第一完成人为研究生、第二完成人为研究生的，第一完成人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=1，第二完成人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=0.4，其他完成人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w:t>
      </w:r>
    </w:p>
    <w:p w14:paraId="54D50649">
      <w:pPr>
        <w:pStyle w:val="30"/>
        <w:numPr>
          <w:ilvl w:val="0"/>
          <w:numId w:val="1"/>
        </w:num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第一完成人为研究生、第二完成人为导师等教职人员、第三完成人为研究生的，第一完成人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=1，第三完成人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=0.4，其他完成人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w:t>
      </w:r>
    </w:p>
    <w:p w14:paraId="0B5EF0F2">
      <w:pPr>
        <w:pStyle w:val="30"/>
        <w:numPr>
          <w:ilvl w:val="0"/>
          <w:numId w:val="1"/>
        </w:num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第一完成人为导师等教职人员、第二、第三完成人均为研究生的，第二完成人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=1，第三完成人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=0.4，其他完成人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w:t>
      </w:r>
    </w:p>
    <w:p w14:paraId="544E2B5C">
      <w:pPr>
        <w:pStyle w:val="30"/>
        <w:numPr>
          <w:ilvl w:val="0"/>
          <w:numId w:val="1"/>
        </w:num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经导师认定两名研究生为共同第一作者的，两名研究生</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=0.7，其他完成人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=0，并须提交导师签字确认的情况说明。</w:t>
      </w:r>
    </w:p>
    <w:p w14:paraId="55E25225">
      <w:pPr>
        <w:spacing w:after="0" w:line="560" w:lineRule="exact"/>
        <w:ind w:left="64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期刊风险系数</w:t>
      </w:r>
      <w:r>
        <w:rPr>
          <w:rFonts w:hint="eastAsia" w:ascii="Times New Roman" w:hAnsi="Times New Roman" w:eastAsia="仿宋_GB2312" w:cs="Times New Roman"/>
          <w:i/>
          <w:iCs/>
          <w:sz w:val="32"/>
          <w:szCs w:val="32"/>
        </w:rPr>
        <w:t>p</w:t>
      </w:r>
      <w:r>
        <w:rPr>
          <w:rFonts w:hint="eastAsia" w:ascii="Times New Roman" w:hAnsi="Times New Roman" w:eastAsia="仿宋_GB2312" w:cs="Times New Roman"/>
          <w:sz w:val="32"/>
          <w:szCs w:val="32"/>
        </w:rPr>
        <w:t>按照以下规则确定：</w:t>
      </w:r>
    </w:p>
    <w:p w14:paraId="66763A98">
      <w:pPr>
        <w:pStyle w:val="30"/>
        <w:numPr>
          <w:ilvl w:val="0"/>
          <w:numId w:val="2"/>
        </w:num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列入中科院《国际期刊预警名单》的期刊，</w:t>
      </w:r>
      <w:r>
        <w:rPr>
          <w:rFonts w:hint="eastAsia" w:ascii="Times New Roman" w:hAnsi="Times New Roman" w:eastAsia="仿宋_GB2312" w:cs="Times New Roman"/>
          <w:i/>
          <w:iCs/>
          <w:sz w:val="32"/>
          <w:szCs w:val="32"/>
        </w:rPr>
        <w:t>p</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60B2BB4C">
      <w:pPr>
        <w:pStyle w:val="30"/>
        <w:numPr>
          <w:ilvl w:val="0"/>
          <w:numId w:val="2"/>
        </w:num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其他期刊，</w:t>
      </w:r>
      <w:r>
        <w:rPr>
          <w:rFonts w:hint="eastAsia" w:ascii="Times New Roman" w:hAnsi="Times New Roman" w:eastAsia="仿宋_GB2312" w:cs="Times New Roman"/>
          <w:i/>
          <w:iCs/>
          <w:sz w:val="32"/>
          <w:szCs w:val="32"/>
        </w:rPr>
        <w:t>p</w:t>
      </w:r>
      <w:r>
        <w:rPr>
          <w:rFonts w:hint="eastAsia" w:ascii="Times New Roman" w:hAnsi="Times New Roman" w:eastAsia="仿宋_GB2312" w:cs="Times New Roman"/>
          <w:sz w:val="32"/>
          <w:szCs w:val="32"/>
        </w:rPr>
        <w:t>=1。</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5C23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C263287">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成果层级</w:t>
            </w:r>
          </w:p>
        </w:tc>
        <w:tc>
          <w:tcPr>
            <w:tcW w:w="2885" w:type="dxa"/>
            <w:vAlign w:val="center"/>
          </w:tcPr>
          <w:p w14:paraId="606D4CAB">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建议得分</w:t>
            </w:r>
          </w:p>
        </w:tc>
      </w:tr>
      <w:tr w14:paraId="11F8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A44C212">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N/S/C正刊论文</w:t>
            </w:r>
          </w:p>
        </w:tc>
        <w:tc>
          <w:tcPr>
            <w:tcW w:w="2885" w:type="dxa"/>
            <w:vAlign w:val="center"/>
          </w:tcPr>
          <w:p w14:paraId="4AD61537">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30分/篇</w:t>
            </w:r>
          </w:p>
        </w:tc>
      </w:tr>
      <w:tr w14:paraId="7E5B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58E229A">
            <w:pPr>
              <w:snapToGrid w:val="0"/>
              <w:spacing w:after="0" w:line="240" w:lineRule="auto"/>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SCI，IF</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10</w:t>
            </w:r>
          </w:p>
        </w:tc>
        <w:tc>
          <w:tcPr>
            <w:tcW w:w="2885" w:type="dxa"/>
            <w:vAlign w:val="center"/>
          </w:tcPr>
          <w:p w14:paraId="626FD18E">
            <w:pPr>
              <w:snapToGrid w:val="0"/>
              <w:spacing w:after="0" w:line="240" w:lineRule="auto"/>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15分/篇</w:t>
            </w:r>
          </w:p>
        </w:tc>
      </w:tr>
      <w:tr w14:paraId="0AA7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C6A1264">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SCI，</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.0≤IF＜</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.0</w:t>
            </w:r>
          </w:p>
        </w:tc>
        <w:tc>
          <w:tcPr>
            <w:tcW w:w="2885" w:type="dxa"/>
            <w:vAlign w:val="center"/>
          </w:tcPr>
          <w:p w14:paraId="5C502BA4">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10分/篇</w:t>
            </w:r>
          </w:p>
        </w:tc>
      </w:tr>
      <w:tr w14:paraId="5116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834D848">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SCI，2.0≤IF＜5.0</w:t>
            </w:r>
          </w:p>
        </w:tc>
        <w:tc>
          <w:tcPr>
            <w:tcW w:w="2885" w:type="dxa"/>
            <w:vAlign w:val="center"/>
          </w:tcPr>
          <w:p w14:paraId="2E5A164D">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6分/篇</w:t>
            </w:r>
          </w:p>
        </w:tc>
      </w:tr>
      <w:tr w14:paraId="28C8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2995B66">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SCI，1.0≤IF＜2.0</w:t>
            </w:r>
          </w:p>
        </w:tc>
        <w:tc>
          <w:tcPr>
            <w:tcW w:w="2885" w:type="dxa"/>
            <w:vAlign w:val="center"/>
          </w:tcPr>
          <w:p w14:paraId="3054302C">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4分/篇</w:t>
            </w:r>
          </w:p>
        </w:tc>
      </w:tr>
      <w:tr w14:paraId="03D0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B4D4731">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SCI，IF＜1.0</w:t>
            </w:r>
          </w:p>
        </w:tc>
        <w:tc>
          <w:tcPr>
            <w:tcW w:w="2885" w:type="dxa"/>
            <w:vAlign w:val="center"/>
          </w:tcPr>
          <w:p w14:paraId="1EB0E869">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2分/篇</w:t>
            </w:r>
          </w:p>
        </w:tc>
      </w:tr>
      <w:tr w14:paraId="2D55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D684F28">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CCF-A类会议Oral论文</w:t>
            </w:r>
          </w:p>
        </w:tc>
        <w:tc>
          <w:tcPr>
            <w:tcW w:w="2885" w:type="dxa"/>
            <w:vAlign w:val="center"/>
          </w:tcPr>
          <w:p w14:paraId="25B1B40F">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分/篇</w:t>
            </w:r>
          </w:p>
        </w:tc>
      </w:tr>
      <w:tr w14:paraId="6E7B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06177D6">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CCF-A类会议Poster或非Oral论文</w:t>
            </w:r>
          </w:p>
        </w:tc>
        <w:tc>
          <w:tcPr>
            <w:tcW w:w="2885" w:type="dxa"/>
            <w:vAlign w:val="center"/>
          </w:tcPr>
          <w:p w14:paraId="763F1E56">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分/篇</w:t>
            </w:r>
          </w:p>
        </w:tc>
      </w:tr>
      <w:tr w14:paraId="2AE4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3E496C5">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CCF-B类会议论文</w:t>
            </w:r>
          </w:p>
        </w:tc>
        <w:tc>
          <w:tcPr>
            <w:tcW w:w="2885" w:type="dxa"/>
            <w:vAlign w:val="center"/>
          </w:tcPr>
          <w:p w14:paraId="6378C32E">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3分/篇</w:t>
            </w:r>
          </w:p>
        </w:tc>
      </w:tr>
      <w:tr w14:paraId="0BBF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FB9D509">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EI</w:t>
            </w:r>
            <w:r>
              <w:rPr>
                <w:rFonts w:hint="eastAsia" w:ascii="Times New Roman" w:hAnsi="Times New Roman" w:eastAsia="仿宋_GB2312" w:cs="Times New Roman"/>
                <w:sz w:val="32"/>
                <w:szCs w:val="32"/>
                <w:lang w:val="en-US" w:eastAsia="zh-CN"/>
              </w:rPr>
              <w:t>期刊/</w:t>
            </w:r>
            <w:r>
              <w:rPr>
                <w:rFonts w:ascii="Times New Roman" w:hAnsi="Times New Roman" w:eastAsia="仿宋_GB2312" w:cs="Times New Roman"/>
                <w:sz w:val="32"/>
                <w:szCs w:val="32"/>
              </w:rPr>
              <w:t>会议论文</w:t>
            </w:r>
          </w:p>
        </w:tc>
        <w:tc>
          <w:tcPr>
            <w:tcW w:w="2885" w:type="dxa"/>
            <w:vAlign w:val="center"/>
          </w:tcPr>
          <w:p w14:paraId="372E7158">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1分/篇</w:t>
            </w:r>
          </w:p>
        </w:tc>
      </w:tr>
      <w:tr w14:paraId="1374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shd w:val="clear" w:color="auto" w:fill="auto"/>
            <w:vAlign w:val="center"/>
          </w:tcPr>
          <w:p w14:paraId="0DAA40CD">
            <w:pPr>
              <w:snapToGrid w:val="0"/>
              <w:spacing w:after="0" w:line="240" w:lineRule="auto"/>
              <w:jc w:val="center"/>
              <w:rPr>
                <w:rFonts w:ascii="Times New Roman" w:hAnsi="Times New Roman" w:eastAsia="仿宋_GB2312" w:cs="Times New Roman"/>
                <w:kern w:val="2"/>
                <w:sz w:val="32"/>
                <w:szCs w:val="32"/>
                <w:lang w:val="en-US" w:eastAsia="zh-CN" w:bidi="ar-SA"/>
                <w14:ligatures w14:val="standardContextual"/>
              </w:rPr>
            </w:pPr>
            <w:r>
              <w:rPr>
                <w:rFonts w:hint="eastAsia" w:ascii="Times New Roman" w:hAnsi="Times New Roman" w:eastAsia="仿宋_GB2312" w:cs="Times New Roman"/>
                <w:sz w:val="32"/>
                <w:szCs w:val="32"/>
              </w:rPr>
              <w:t>全国一级学会</w:t>
            </w:r>
            <w:r>
              <w:rPr>
                <w:rFonts w:hint="eastAsia" w:ascii="Times New Roman" w:hAnsi="Times New Roman" w:eastAsia="仿宋_GB2312" w:cs="Times New Roman"/>
                <w:sz w:val="32"/>
                <w:szCs w:val="32"/>
                <w:lang w:val="en-US" w:eastAsia="zh-CN"/>
              </w:rPr>
              <w:t>主办会</w:t>
            </w:r>
            <w:r>
              <w:rPr>
                <w:rFonts w:hint="eastAsia" w:ascii="Times New Roman" w:hAnsi="Times New Roman" w:eastAsia="仿宋_GB2312" w:cs="Times New Roman"/>
                <w:sz w:val="32"/>
                <w:szCs w:val="32"/>
              </w:rPr>
              <w:t>刊</w:t>
            </w:r>
          </w:p>
        </w:tc>
        <w:tc>
          <w:tcPr>
            <w:tcW w:w="2885" w:type="dxa"/>
            <w:shd w:val="clear" w:color="auto" w:fill="auto"/>
            <w:vAlign w:val="center"/>
          </w:tcPr>
          <w:p w14:paraId="1993FF24">
            <w:pPr>
              <w:snapToGrid w:val="0"/>
              <w:spacing w:after="0" w:line="240" w:lineRule="auto"/>
              <w:jc w:val="center"/>
              <w:rPr>
                <w:rFonts w:ascii="Times New Roman" w:hAnsi="Times New Roman" w:eastAsia="仿宋_GB2312" w:cs="Times New Roman"/>
                <w:kern w:val="2"/>
                <w:sz w:val="32"/>
                <w:szCs w:val="32"/>
                <w:lang w:val="en-US" w:eastAsia="zh-CN" w:bidi="ar-SA"/>
                <w14:ligatures w14:val="standardContextual"/>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分/篇</w:t>
            </w:r>
          </w:p>
        </w:tc>
      </w:tr>
    </w:tbl>
    <w:p w14:paraId="08AF214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除N/S/C正刊论文外，申报论文的第一作者单位、通讯作者单位须</w:t>
      </w:r>
      <w:r>
        <w:rPr>
          <w:rFonts w:hint="eastAsia" w:ascii="Times New Roman" w:hAnsi="Times New Roman" w:eastAsia="仿宋_GB2312" w:cs="Times New Roman"/>
          <w:sz w:val="32"/>
          <w:szCs w:val="32"/>
        </w:rPr>
        <w:t>同时</w:t>
      </w:r>
      <w:r>
        <w:rPr>
          <w:rFonts w:ascii="Times New Roman" w:hAnsi="Times New Roman" w:eastAsia="仿宋_GB2312" w:cs="Times New Roman"/>
          <w:sz w:val="32"/>
          <w:szCs w:val="32"/>
        </w:rPr>
        <w:t>为北京理工大学。</w:t>
      </w:r>
    </w:p>
    <w:p w14:paraId="0246E342">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t xml:space="preserve"> </w:t>
      </w:r>
      <w:r>
        <w:rPr>
          <w:rFonts w:ascii="Times New Roman" w:hAnsi="Times New Roman" w:eastAsia="仿宋_GB2312" w:cs="Times New Roman"/>
          <w:sz w:val="32"/>
          <w:szCs w:val="32"/>
        </w:rPr>
        <w:t>N/S/C正刊论文每篇计30分，不受研究生作者排序影响，论文署名单位中须有北京理工大学。</w:t>
      </w:r>
    </w:p>
    <w:p w14:paraId="2454B5D1">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未列入CCF-A、CCF-B类会议目录的其他会议论文，原则上按照EI会议论文标准计分。</w:t>
      </w:r>
    </w:p>
    <w:p w14:paraId="5CEFA0D7">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同一篇论文同时被SCI和EI收录的，仅按照最高计分标准计算一次，不重复计分。</w:t>
      </w:r>
    </w:p>
    <w:p w14:paraId="14172D75">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发表在学校规定的本学科顶级期刊上的论文，</w:t>
      </w:r>
      <w:r>
        <w:rPr>
          <w:rFonts w:hint="eastAsia" w:ascii="Times New Roman" w:hAnsi="Times New Roman" w:eastAsia="仿宋_GB2312" w:cs="Times New Roman"/>
          <w:sz w:val="32"/>
          <w:szCs w:val="32"/>
        </w:rPr>
        <w:t>给予附加分</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分</w:t>
      </w:r>
      <w:r>
        <w:rPr>
          <w:rFonts w:ascii="Times New Roman" w:hAnsi="Times New Roman" w:eastAsia="仿宋_GB2312" w:cs="Times New Roman"/>
          <w:sz w:val="32"/>
          <w:szCs w:val="32"/>
        </w:rPr>
        <w:t>。</w:t>
      </w:r>
    </w:p>
    <w:p w14:paraId="16A84ADD">
      <w:pPr>
        <w:spacing w:after="0" w:line="56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全国一级学会主办会刊</w:t>
      </w:r>
      <w:r>
        <w:rPr>
          <w:rFonts w:hint="eastAsia" w:ascii="Times New Roman" w:hAnsi="Times New Roman" w:eastAsia="仿宋_GB2312" w:cs="Times New Roman"/>
          <w:sz w:val="32"/>
          <w:szCs w:val="32"/>
          <w:lang w:val="en-US" w:eastAsia="zh-CN"/>
        </w:rPr>
        <w:t>包括《中国科学》、《科学通报》、《计算机学报》、《软件学报》、《电子学报》、《自动化学报》、《</w:t>
      </w:r>
      <w:r>
        <w:rPr>
          <w:rFonts w:hint="eastAsia" w:ascii="Times New Roman" w:hAnsi="Times New Roman" w:eastAsia="仿宋_GB2312" w:cs="Times New Roman"/>
          <w:sz w:val="32"/>
          <w:szCs w:val="32"/>
        </w:rPr>
        <w:t>宇航学报</w:t>
      </w:r>
      <w:r>
        <w:rPr>
          <w:rFonts w:hint="eastAsia" w:ascii="Times New Roman" w:hAnsi="Times New Roman" w:eastAsia="仿宋_GB2312" w:cs="Times New Roman"/>
          <w:sz w:val="32"/>
          <w:szCs w:val="32"/>
          <w:lang w:val="en-US" w:eastAsia="zh-CN"/>
        </w:rPr>
        <w:t>》等。</w:t>
      </w:r>
    </w:p>
    <w:p w14:paraId="33DEB655">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对FWCI（领域加权引用影响力）≥1的论文，根据FWCI数值给予附加分：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4AA8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39926B6">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FWCI</w:t>
            </w:r>
          </w:p>
        </w:tc>
        <w:tc>
          <w:tcPr>
            <w:tcW w:w="2885" w:type="dxa"/>
            <w:vAlign w:val="center"/>
          </w:tcPr>
          <w:p w14:paraId="456EE736">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附加分</w:t>
            </w:r>
          </w:p>
        </w:tc>
      </w:tr>
      <w:tr w14:paraId="4E36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DA50914">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1≤FWCI＜2</w:t>
            </w:r>
          </w:p>
        </w:tc>
        <w:tc>
          <w:tcPr>
            <w:tcW w:w="2885" w:type="dxa"/>
            <w:vAlign w:val="center"/>
          </w:tcPr>
          <w:p w14:paraId="4F5A1723">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p>
        </w:tc>
      </w:tr>
      <w:tr w14:paraId="1B75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960A73E">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2≤FWCI＜3</w:t>
            </w:r>
          </w:p>
        </w:tc>
        <w:tc>
          <w:tcPr>
            <w:tcW w:w="2885" w:type="dxa"/>
            <w:vAlign w:val="center"/>
          </w:tcPr>
          <w:p w14:paraId="2BFCC746">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p>
        </w:tc>
      </w:tr>
      <w:tr w14:paraId="476D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61959B5">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3≤FWCI＜4</w:t>
            </w:r>
          </w:p>
        </w:tc>
        <w:tc>
          <w:tcPr>
            <w:tcW w:w="2885" w:type="dxa"/>
            <w:vAlign w:val="center"/>
          </w:tcPr>
          <w:p w14:paraId="15931A85">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p>
        </w:tc>
      </w:tr>
      <w:tr w14:paraId="628D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1C20035">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4≤FWCI＜5</w:t>
            </w:r>
          </w:p>
        </w:tc>
        <w:tc>
          <w:tcPr>
            <w:tcW w:w="2885" w:type="dxa"/>
            <w:vAlign w:val="center"/>
          </w:tcPr>
          <w:p w14:paraId="4A8EC7A5">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p>
        </w:tc>
      </w:tr>
      <w:tr w14:paraId="70B8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A23B3BE">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FWCI≥5</w:t>
            </w:r>
          </w:p>
        </w:tc>
        <w:tc>
          <w:tcPr>
            <w:tcW w:w="2885" w:type="dxa"/>
            <w:vAlign w:val="center"/>
          </w:tcPr>
          <w:p w14:paraId="46B389B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bl>
    <w:p w14:paraId="1FEAAD7D">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二、发明专利类</w:t>
      </w:r>
    </w:p>
    <w:p w14:paraId="31E37071">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研究生作为发明人取得的发明专利，根据专利状态及本人贡献进行计分</w:t>
      </w:r>
      <w:r>
        <w:rPr>
          <w:rFonts w:hint="eastAsia" w:ascii="Times New Roman" w:hAnsi="Times New Roman" w:eastAsia="仿宋_GB2312" w:cs="Times New Roman"/>
          <w:sz w:val="32"/>
          <w:szCs w:val="32"/>
        </w:rPr>
        <w:t>，计算公式为：</w:t>
      </w:r>
    </w:p>
    <w:p w14:paraId="35C7A8B3">
      <w:pPr>
        <w:pStyle w:val="35"/>
        <w:spacing w:line="240" w:lineRule="auto"/>
      </w:pPr>
      <w:r>
        <w:tab/>
      </w:r>
      <w:r>
        <w:rPr>
          <w:position w:val="-8"/>
        </w:rPr>
        <w:object>
          <v:shape id="_x0000_i1027" o:spt="75" type="#_x0000_t75" style="height:20.4pt;width:167.6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p>
    <w:p w14:paraId="045E7BD7">
      <w:p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w:t>
      </w:r>
      <w:r>
        <w:rPr>
          <w:rFonts w:hint="eastAsia" w:ascii="Times New Roman" w:hAnsi="Times New Roman" w:eastAsia="仿宋_GB2312" w:cs="Times New Roman"/>
          <w:i/>
          <w:iCs/>
          <w:sz w:val="32"/>
          <w:szCs w:val="32"/>
        </w:rPr>
        <w:t>k</w:t>
      </w:r>
      <w:r>
        <w:rPr>
          <w:rFonts w:ascii="Times New Roman" w:hAnsi="Times New Roman" w:eastAsia="仿宋_GB2312" w:cs="Times New Roman"/>
          <w:sz w:val="32"/>
          <w:szCs w:val="32"/>
        </w:rPr>
        <w:t>按照本办法</w:t>
      </w:r>
      <w:r>
        <w:rPr>
          <w:rFonts w:hint="eastAsia" w:ascii="Times New Roman" w:hAnsi="Times New Roman" w:eastAsia="仿宋_GB2312" w:cs="Times New Roman"/>
          <w:sz w:val="32"/>
          <w:szCs w:val="32"/>
        </w:rPr>
        <w:t>第一条</w:t>
      </w:r>
      <w:r>
        <w:rPr>
          <w:rFonts w:ascii="Times New Roman" w:hAnsi="Times New Roman" w:eastAsia="仿宋_GB2312" w:cs="Times New Roman"/>
          <w:sz w:val="32"/>
          <w:szCs w:val="32"/>
        </w:rPr>
        <w:t>学术论文</w:t>
      </w:r>
      <w:r>
        <w:rPr>
          <w:rFonts w:hint="eastAsia" w:ascii="Times New Roman" w:hAnsi="Times New Roman" w:eastAsia="仿宋_GB2312" w:cs="Times New Roman"/>
          <w:sz w:val="32"/>
          <w:szCs w:val="32"/>
        </w:rPr>
        <w:t>类</w:t>
      </w:r>
      <w:r>
        <w:rPr>
          <w:rFonts w:ascii="Times New Roman" w:hAnsi="Times New Roman" w:eastAsia="仿宋_GB2312" w:cs="Times New Roman"/>
          <w:sz w:val="32"/>
          <w:szCs w:val="32"/>
        </w:rPr>
        <w:t>作者贡献系数的有关规定执行。</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7053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0B6A660">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专利类型</w:t>
            </w:r>
          </w:p>
        </w:tc>
        <w:tc>
          <w:tcPr>
            <w:tcW w:w="2885" w:type="dxa"/>
            <w:vAlign w:val="center"/>
          </w:tcPr>
          <w:p w14:paraId="6A1986BE">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基础分值</w:t>
            </w:r>
          </w:p>
        </w:tc>
      </w:tr>
      <w:tr w14:paraId="0111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C40A55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发明专利授权</w:t>
            </w:r>
          </w:p>
        </w:tc>
        <w:tc>
          <w:tcPr>
            <w:tcW w:w="2885" w:type="dxa"/>
            <w:vAlign w:val="center"/>
          </w:tcPr>
          <w:p w14:paraId="17144E6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5分/项</w:t>
            </w:r>
          </w:p>
        </w:tc>
      </w:tr>
      <w:tr w14:paraId="1018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B15EA62">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发明专利申请并受理</w:t>
            </w:r>
          </w:p>
        </w:tc>
        <w:tc>
          <w:tcPr>
            <w:tcW w:w="2885" w:type="dxa"/>
            <w:vAlign w:val="center"/>
          </w:tcPr>
          <w:p w14:paraId="32CD7BEF">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1.5分/项</w:t>
            </w:r>
          </w:p>
        </w:tc>
      </w:tr>
    </w:tbl>
    <w:p w14:paraId="16EFD35A">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同一项发明专利在申请受理和获得授权两个阶段可分别计分。</w:t>
      </w:r>
    </w:p>
    <w:p w14:paraId="0E38D38D">
      <w:pPr>
        <w:spacing w:after="0" w:line="560" w:lineRule="exact"/>
        <w:ind w:firstLine="640" w:firstLineChars="200"/>
        <w:jc w:val="both"/>
        <w:rPr>
          <w:rFonts w:hint="eastAsia" w:ascii="黑体" w:hAnsi="黑体" w:eastAsia="黑体" w:cs="Times New Roman"/>
          <w:sz w:val="32"/>
          <w:szCs w:val="32"/>
        </w:rPr>
      </w:pPr>
      <w:r>
        <w:rPr>
          <w:rFonts w:ascii="黑体" w:hAnsi="黑体" w:eastAsia="黑体" w:cs="Times New Roman"/>
          <w:sz w:val="32"/>
          <w:szCs w:val="32"/>
        </w:rPr>
        <w:t>三、科研成果奖励类</w:t>
      </w:r>
    </w:p>
    <w:p w14:paraId="6DD176D6">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研究生作为科研成果主要完成人获得国家级、省部级科技成果奖励的，根据奖励层级、奖励等级及本人实际贡献进行计分</w:t>
      </w:r>
      <w:r>
        <w:rPr>
          <w:rFonts w:hint="eastAsia" w:ascii="Times New Roman" w:hAnsi="Times New Roman" w:eastAsia="仿宋_GB2312" w:cs="Times New Roman"/>
          <w:sz w:val="32"/>
          <w:szCs w:val="32"/>
        </w:rPr>
        <w:t>，计算公式为：</w:t>
      </w:r>
    </w:p>
    <w:p w14:paraId="717AF4B8">
      <w:pPr>
        <w:pStyle w:val="35"/>
      </w:pPr>
      <w:r>
        <w:tab/>
      </w:r>
      <w:r>
        <w:rPr>
          <w:position w:val="-8"/>
        </w:rPr>
        <w:object>
          <v:shape id="_x0000_i1028" o:spt="75" type="#_x0000_t75" style="height:20.4pt;width:199.9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2">
            <o:LockedField>false</o:LockedField>
          </o:OLEObject>
        </w:object>
      </w:r>
    </w:p>
    <w:p w14:paraId="1322A33B">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其中，研究生为第一完成人，或者导师为第一完成人、研究生为第二完成人的，</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=1；研究生为第二完成人的，</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=0.9，此后根据排名依次递减，</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最低为0.1。</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28E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76FB339">
            <w:pPr>
              <w:snapToGrid w:val="0"/>
              <w:spacing w:after="0" w:line="240" w:lineRule="auto"/>
              <w:jc w:val="center"/>
              <w:rPr>
                <w:rFonts w:hint="eastAsia" w:ascii="黑体" w:hAnsi="黑体" w:eastAsia="黑体" w:cs="Times New Roman"/>
                <w:sz w:val="32"/>
                <w:szCs w:val="32"/>
              </w:rPr>
            </w:pPr>
            <w:r>
              <w:rPr>
                <w:rFonts w:ascii="黑体" w:hAnsi="黑体" w:eastAsia="黑体" w:cs="Times New Roman"/>
                <w:sz w:val="32"/>
                <w:szCs w:val="32"/>
              </w:rPr>
              <w:t>奖励层级及等级</w:t>
            </w:r>
          </w:p>
        </w:tc>
        <w:tc>
          <w:tcPr>
            <w:tcW w:w="2885" w:type="dxa"/>
            <w:vAlign w:val="center"/>
          </w:tcPr>
          <w:p w14:paraId="533B670D">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基础分值</w:t>
            </w:r>
          </w:p>
        </w:tc>
      </w:tr>
      <w:tr w14:paraId="45E9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ED5885B">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国家级科技奖励</w:t>
            </w:r>
          </w:p>
        </w:tc>
        <w:tc>
          <w:tcPr>
            <w:tcW w:w="2885" w:type="dxa"/>
            <w:vAlign w:val="center"/>
          </w:tcPr>
          <w:p w14:paraId="50DCE92B">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30分/项</w:t>
            </w:r>
          </w:p>
        </w:tc>
      </w:tr>
      <w:tr w14:paraId="1E53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B89A73A">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省部级一等奖</w:t>
            </w:r>
          </w:p>
        </w:tc>
        <w:tc>
          <w:tcPr>
            <w:tcW w:w="2885" w:type="dxa"/>
            <w:vAlign w:val="center"/>
          </w:tcPr>
          <w:p w14:paraId="2AE13FA7">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20分/项</w:t>
            </w:r>
          </w:p>
        </w:tc>
      </w:tr>
      <w:tr w14:paraId="5FFF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5B9018A">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省部级二等奖</w:t>
            </w:r>
          </w:p>
        </w:tc>
        <w:tc>
          <w:tcPr>
            <w:tcW w:w="2885" w:type="dxa"/>
            <w:vAlign w:val="center"/>
          </w:tcPr>
          <w:p w14:paraId="457CCE32">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15分/项</w:t>
            </w:r>
          </w:p>
        </w:tc>
      </w:tr>
      <w:tr w14:paraId="300B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59196A9D">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省部级三等奖</w:t>
            </w:r>
          </w:p>
        </w:tc>
        <w:tc>
          <w:tcPr>
            <w:tcW w:w="2885" w:type="dxa"/>
            <w:vAlign w:val="center"/>
          </w:tcPr>
          <w:p w14:paraId="3F1BFED3">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10分/项</w:t>
            </w:r>
          </w:p>
        </w:tc>
      </w:tr>
    </w:tbl>
    <w:p w14:paraId="5DD08DBB">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申请人须提供能够证明本人获奖、奖励等级及完成人排序的正式获奖证书或其他有效证明材料。</w:t>
      </w:r>
    </w:p>
    <w:p w14:paraId="12B219D5">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四、学术著作类</w:t>
      </w:r>
    </w:p>
    <w:p w14:paraId="58185520">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研究生参与正式出版学术著作的，根据本人实际完成的撰写字数计分：</w:t>
      </w:r>
    </w:p>
    <w:p w14:paraId="5785945B">
      <w:pPr>
        <w:pStyle w:val="35"/>
        <w:spacing w:line="240" w:lineRule="auto"/>
      </w:pPr>
      <w:r>
        <w:tab/>
      </w:r>
      <w:r>
        <w:rPr>
          <w:position w:val="-34"/>
        </w:rPr>
        <w:object>
          <v:shape id="_x0000_i1029" o:spt="75" type="#_x0000_t75" style="height:43pt;width:281.55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9" r:id="rId14">
            <o:LockedField>false</o:LockedField>
          </o:OLEObject>
        </w:object>
      </w:r>
    </w:p>
    <w:p w14:paraId="1AE1806A">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申请人须提供正式出版物以及能够证明本人实际撰写字数的有效材料。</w:t>
      </w:r>
    </w:p>
    <w:p w14:paraId="4C67F1E1">
      <w:pPr>
        <w:keepNext/>
        <w:spacing w:after="0" w:line="560" w:lineRule="exact"/>
        <w:ind w:firstLine="640" w:firstLineChars="200"/>
        <w:jc w:val="both"/>
        <w:rPr>
          <w:rFonts w:hint="eastAsia" w:ascii="黑体" w:hAnsi="黑体" w:eastAsia="黑体" w:cs="Times New Roman"/>
          <w:sz w:val="32"/>
          <w:szCs w:val="32"/>
        </w:rPr>
      </w:pPr>
      <w:r>
        <w:rPr>
          <w:rFonts w:ascii="黑体" w:hAnsi="黑体" w:eastAsia="黑体" w:cs="Times New Roman"/>
          <w:sz w:val="32"/>
          <w:szCs w:val="32"/>
        </w:rPr>
        <w:t>五、软件著作权类</w:t>
      </w:r>
    </w:p>
    <w:p w14:paraId="6CFA927F">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研究生取得软件著作权证书的，根据本人实际贡献进行计分：</w:t>
      </w:r>
    </w:p>
    <w:p w14:paraId="6044B1B4">
      <w:pPr>
        <w:pStyle w:val="35"/>
      </w:pPr>
      <w:r>
        <w:tab/>
      </w:r>
      <w:r>
        <w:rPr>
          <w:position w:val="-8"/>
        </w:rPr>
        <w:object>
          <v:shape id="_x0000_i1030" o:spt="75" type="#_x0000_t75" style="height:20.4pt;width:294.45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30" r:id="rId16">
            <o:LockedField>false</o:LockedField>
          </o:OLEObject>
        </w:object>
      </w:r>
    </w:p>
    <w:p w14:paraId="78EFF408">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w:t>
      </w:r>
      <w:r>
        <w:rPr>
          <w:rFonts w:hint="eastAsia" w:ascii="Times New Roman" w:hAnsi="Times New Roman" w:eastAsia="仿宋_GB2312" w:cs="Times New Roman"/>
          <w:i/>
          <w:iCs/>
          <w:sz w:val="32"/>
          <w:szCs w:val="32"/>
        </w:rPr>
        <w:t>k</w:t>
      </w:r>
      <w:r>
        <w:rPr>
          <w:rFonts w:ascii="Times New Roman" w:hAnsi="Times New Roman" w:eastAsia="仿宋_GB2312" w:cs="Times New Roman"/>
          <w:sz w:val="32"/>
          <w:szCs w:val="32"/>
        </w:rPr>
        <w:t>按照本办法第一条学术论文</w:t>
      </w:r>
      <w:r>
        <w:rPr>
          <w:rFonts w:hint="eastAsia" w:ascii="Times New Roman" w:hAnsi="Times New Roman" w:eastAsia="仿宋_GB2312" w:cs="Times New Roman"/>
          <w:sz w:val="32"/>
          <w:szCs w:val="32"/>
        </w:rPr>
        <w:t>类</w:t>
      </w:r>
      <w:r>
        <w:rPr>
          <w:rFonts w:ascii="Times New Roman" w:hAnsi="Times New Roman" w:eastAsia="仿宋_GB2312" w:cs="Times New Roman"/>
          <w:sz w:val="32"/>
          <w:szCs w:val="32"/>
        </w:rPr>
        <w:t>作者贡献系数的有关规定执行。</w:t>
      </w:r>
    </w:p>
    <w:p w14:paraId="2871D610">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申请人须提供正式软件著作权登记证书。</w:t>
      </w:r>
    </w:p>
    <w:p w14:paraId="12741001">
      <w:pPr>
        <w:spacing w:after="0" w:line="560" w:lineRule="exact"/>
        <w:ind w:firstLine="640" w:firstLineChars="200"/>
        <w:jc w:val="both"/>
        <w:rPr>
          <w:rFonts w:hint="eastAsia" w:ascii="黑体" w:hAnsi="黑体" w:eastAsia="黑体" w:cs="Times New Roman"/>
          <w:sz w:val="32"/>
          <w:szCs w:val="32"/>
        </w:rPr>
      </w:pPr>
      <w:r>
        <w:rPr>
          <w:rFonts w:ascii="黑体" w:hAnsi="黑体" w:eastAsia="黑体" w:cs="Times New Roman"/>
          <w:sz w:val="32"/>
          <w:szCs w:val="32"/>
        </w:rPr>
        <w:t>六、标准制定及重大技术突破类</w:t>
      </w:r>
    </w:p>
    <w:p w14:paraId="6BFC3C91">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研究生参与编制并获批国际标准、国家标准、行业标准（含国军标），且相关标准具有本人署名信息；或在重大装备制造技术方面取得突破并能够提供相应证明材料的，按照以下标准计分：</w:t>
      </w:r>
    </w:p>
    <w:p w14:paraId="31AF463C">
      <w:pPr>
        <w:pStyle w:val="35"/>
      </w:pPr>
      <w:r>
        <w:tab/>
      </w:r>
      <w:r>
        <w:rPr>
          <w:position w:val="-8"/>
        </w:rPr>
        <w:object>
          <v:shape id="_x0000_i1031" o:spt="75" type="#_x0000_t75" style="height:20.4pt;width:195.6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1" r:id="rId18">
            <o:LockedField>false</o:LockedField>
          </o:OLEObject>
        </w:object>
      </w:r>
    </w:p>
    <w:p w14:paraId="0E7D3183">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其中，研究生为第一完成人，或者导师为第一完成人、研究生为第二完成人的，</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=1；研究生为第二完成人的，</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=0.9，此后根据排名依次递减，</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最低为0.1。</w:t>
      </w:r>
    </w:p>
    <w:p w14:paraId="743ACC0F">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申请人须提供正式标准文本、署名证明、成果鉴定、应用证明、企业经济效益证明或其他能够反映成果水平及本人实际贡献的有效材料。</w:t>
      </w:r>
    </w:p>
    <w:p w14:paraId="73FB6BED">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七、</w:t>
      </w:r>
      <w:r>
        <w:rPr>
          <w:rFonts w:ascii="黑体" w:hAnsi="黑体" w:eastAsia="黑体" w:cs="Times New Roman"/>
          <w:sz w:val="32"/>
          <w:szCs w:val="32"/>
        </w:rPr>
        <w:t>科技创新竞赛类</w:t>
      </w:r>
    </w:p>
    <w:p w14:paraId="49BB5FA6">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研究生参加国家级、国际级及省部级科技创新竞赛并取得正式奖励的，根据竞赛层级、获奖等级及本人实际贡献进行计分</w:t>
      </w:r>
      <w:r>
        <w:rPr>
          <w:rFonts w:hint="eastAsia" w:ascii="Times New Roman" w:hAnsi="Times New Roman" w:eastAsia="仿宋_GB2312" w:cs="Times New Roman"/>
          <w:sz w:val="32"/>
          <w:szCs w:val="32"/>
        </w:rPr>
        <w:t>，计算公式为：</w:t>
      </w:r>
    </w:p>
    <w:p w14:paraId="06109960">
      <w:pPr>
        <w:pStyle w:val="35"/>
      </w:pPr>
      <w:r>
        <w:tab/>
      </w:r>
      <w:r>
        <w:rPr>
          <w:position w:val="-8"/>
        </w:rPr>
        <w:object>
          <v:shape id="_x0000_i1032" o:spt="75" type="#_x0000_t75" style="height:20.4pt;width:228.9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2" r:id="rId20">
            <o:LockedField>false</o:LockedField>
          </o:OLEObject>
        </w:object>
      </w:r>
    </w:p>
    <w:p w14:paraId="31186558">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其中，获得个人奖项或者作为团队负责人取得团体奖项的，</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；团队排名第二至第五的，</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；其他主要参与成员，</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29A9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84E5632">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竞赛层级及获奖等级</w:t>
            </w:r>
          </w:p>
        </w:tc>
        <w:tc>
          <w:tcPr>
            <w:tcW w:w="2885" w:type="dxa"/>
            <w:vAlign w:val="center"/>
          </w:tcPr>
          <w:p w14:paraId="304D89B7">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基础分值</w:t>
            </w:r>
          </w:p>
        </w:tc>
      </w:tr>
      <w:tr w14:paraId="609C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55213A97">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国家级及国际级特等奖</w:t>
            </w:r>
          </w:p>
        </w:tc>
        <w:tc>
          <w:tcPr>
            <w:tcW w:w="2885" w:type="dxa"/>
            <w:vAlign w:val="center"/>
          </w:tcPr>
          <w:p w14:paraId="76D1905D">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w:t>
            </w:r>
          </w:p>
        </w:tc>
      </w:tr>
      <w:tr w14:paraId="4353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383B359">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国家级及国际级一等奖</w:t>
            </w:r>
          </w:p>
        </w:tc>
        <w:tc>
          <w:tcPr>
            <w:tcW w:w="2885" w:type="dxa"/>
            <w:vAlign w:val="center"/>
          </w:tcPr>
          <w:p w14:paraId="4E8444E2">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r w14:paraId="65FB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27E5036">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国家级及国际级二等奖</w:t>
            </w:r>
          </w:p>
        </w:tc>
        <w:tc>
          <w:tcPr>
            <w:tcW w:w="2885" w:type="dxa"/>
            <w:vAlign w:val="center"/>
          </w:tcPr>
          <w:p w14:paraId="72D81070">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4B9E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0D1ACD2">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国家级及国际级三等奖</w:t>
            </w:r>
          </w:p>
        </w:tc>
        <w:tc>
          <w:tcPr>
            <w:tcW w:w="2885" w:type="dxa"/>
            <w:vAlign w:val="center"/>
          </w:tcPr>
          <w:p w14:paraId="06DF9D3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2.5</w:t>
            </w:r>
          </w:p>
        </w:tc>
      </w:tr>
      <w:tr w14:paraId="562A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C8C90F7">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省部级特等奖</w:t>
            </w:r>
          </w:p>
        </w:tc>
        <w:tc>
          <w:tcPr>
            <w:tcW w:w="2885" w:type="dxa"/>
            <w:vAlign w:val="center"/>
          </w:tcPr>
          <w:p w14:paraId="67A23DD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r w14:paraId="45A7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36CE0C8">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省部级一等奖</w:t>
            </w:r>
          </w:p>
        </w:tc>
        <w:tc>
          <w:tcPr>
            <w:tcW w:w="2885" w:type="dxa"/>
            <w:vAlign w:val="center"/>
          </w:tcPr>
          <w:p w14:paraId="42F82B7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1D73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1978CB2">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省部级二等奖</w:t>
            </w:r>
          </w:p>
        </w:tc>
        <w:tc>
          <w:tcPr>
            <w:tcW w:w="2885" w:type="dxa"/>
            <w:vAlign w:val="center"/>
          </w:tcPr>
          <w:p w14:paraId="1DFD6760">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2.5</w:t>
            </w:r>
          </w:p>
        </w:tc>
      </w:tr>
      <w:tr w14:paraId="664A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6A0040D">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省部级三等奖</w:t>
            </w:r>
          </w:p>
        </w:tc>
        <w:tc>
          <w:tcPr>
            <w:tcW w:w="2885" w:type="dxa"/>
            <w:vAlign w:val="center"/>
          </w:tcPr>
          <w:p w14:paraId="73C84D4C">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p>
        </w:tc>
      </w:tr>
    </w:tbl>
    <w:p w14:paraId="001703C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竞赛计分按照以下原则执行：</w:t>
      </w:r>
    </w:p>
    <w:p w14:paraId="0DF9603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1.竞赛未设置特等奖的，其最高奖项原则上按照特等奖标准认定，其他奖项依次对应下一等级计分。</w:t>
      </w:r>
    </w:p>
    <w:p w14:paraId="181FEDB6">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2.同一竞赛、同一项目参加预赛、决赛、不同赛区或不同级别比赛的，仅按照最终取得的最高级别成绩计分，不重复累计。仅参加预赛、未参加后续决赛的，原则上按照下一等级认定。</w:t>
      </w:r>
    </w:p>
    <w:p w14:paraId="6E906B62">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3.竞赛未设置一、二、三等奖，仅公布名次或获奖比例的，前5%视为一等奖，前10%视为二等奖，前30%视为三等奖。</w:t>
      </w:r>
    </w:p>
    <w:p w14:paraId="32EC69E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4.获“挑战杯”、中国国际大学生创新大赛等全国一等奖（金奖）及以上奖项的，附加分为15；全国二等奖（银奖）的，附加分为10；全国三等奖（铜奖）的，附加分为5。</w:t>
      </w:r>
    </w:p>
    <w:p w14:paraId="389BA0CC">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八、优秀会议论文奖励类</w:t>
      </w:r>
    </w:p>
    <w:p w14:paraId="5F98C524">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研究生发表的会议论文获得大会最佳论文</w:t>
      </w:r>
      <w:r>
        <w:rPr>
          <w:rFonts w:hint="eastAsia" w:ascii="Times New Roman" w:hAnsi="Times New Roman" w:eastAsia="仿宋_GB2312" w:cs="Times New Roman"/>
          <w:sz w:val="32"/>
          <w:szCs w:val="32"/>
        </w:rPr>
        <w:t>、最佳汇报</w:t>
      </w:r>
      <w:r>
        <w:rPr>
          <w:rFonts w:ascii="Times New Roman" w:hAnsi="Times New Roman" w:eastAsia="仿宋_GB2312" w:cs="Times New Roman"/>
          <w:sz w:val="32"/>
          <w:szCs w:val="32"/>
        </w:rPr>
        <w:t>或其他正式优秀论文奖励的，根据会议层级及本人贡献进行计分</w:t>
      </w:r>
      <w:r>
        <w:rPr>
          <w:rFonts w:hint="eastAsia" w:ascii="Times New Roman" w:hAnsi="Times New Roman" w:eastAsia="仿宋_GB2312" w:cs="Times New Roman"/>
          <w:sz w:val="32"/>
          <w:szCs w:val="32"/>
        </w:rPr>
        <w:t>，计算公式为：</w:t>
      </w:r>
    </w:p>
    <w:p w14:paraId="6128FF93">
      <w:pPr>
        <w:pStyle w:val="35"/>
      </w:pPr>
      <w:r>
        <w:tab/>
      </w:r>
      <w:r>
        <w:rPr>
          <w:position w:val="-8"/>
        </w:rPr>
        <w:object>
          <v:shape id="_x0000_i1033" o:spt="75" type="#_x0000_t75" style="height:20.4pt;width:231.05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3" r:id="rId22">
            <o:LockedField>false</o:LockedField>
          </o:OLEObject>
        </w:object>
      </w:r>
    </w:p>
    <w:p w14:paraId="7660E4BD">
      <w:p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其中，</w:t>
      </w:r>
      <w:r>
        <w:rPr>
          <w:rFonts w:hint="eastAsia" w:ascii="Times New Roman" w:hAnsi="Times New Roman" w:eastAsia="仿宋_GB2312" w:cs="Times New Roman"/>
          <w:i/>
          <w:iCs/>
          <w:sz w:val="32"/>
          <w:szCs w:val="32"/>
        </w:rPr>
        <w:t>k</w:t>
      </w:r>
      <w:r>
        <w:rPr>
          <w:rFonts w:ascii="Times New Roman" w:hAnsi="Times New Roman" w:eastAsia="仿宋_GB2312" w:cs="Times New Roman"/>
          <w:sz w:val="32"/>
          <w:szCs w:val="32"/>
        </w:rPr>
        <w:t>按照本办法第一条学术论文</w:t>
      </w:r>
      <w:r>
        <w:rPr>
          <w:rFonts w:hint="eastAsia" w:ascii="Times New Roman" w:hAnsi="Times New Roman" w:eastAsia="仿宋_GB2312" w:cs="Times New Roman"/>
          <w:sz w:val="32"/>
          <w:szCs w:val="32"/>
        </w:rPr>
        <w:t>类</w:t>
      </w:r>
      <w:r>
        <w:rPr>
          <w:rFonts w:ascii="Times New Roman" w:hAnsi="Times New Roman" w:eastAsia="仿宋_GB2312" w:cs="Times New Roman"/>
          <w:sz w:val="32"/>
          <w:szCs w:val="32"/>
        </w:rPr>
        <w:t>作者贡献系数的有关规定执行。</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0048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B83E1FE">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奖励类型</w:t>
            </w:r>
          </w:p>
        </w:tc>
        <w:tc>
          <w:tcPr>
            <w:tcW w:w="2885" w:type="dxa"/>
            <w:vAlign w:val="center"/>
          </w:tcPr>
          <w:p w14:paraId="4D819BF3">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基础分值</w:t>
            </w:r>
          </w:p>
        </w:tc>
      </w:tr>
      <w:tr w14:paraId="5FED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9A889EE">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CCF-A类会议大会最佳论文</w:t>
            </w:r>
          </w:p>
        </w:tc>
        <w:tc>
          <w:tcPr>
            <w:tcW w:w="2885" w:type="dxa"/>
            <w:vAlign w:val="center"/>
          </w:tcPr>
          <w:p w14:paraId="51C078F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w:t>
            </w:r>
          </w:p>
        </w:tc>
      </w:tr>
      <w:tr w14:paraId="380D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678CCD6">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CCF-B类会议大会最佳论文</w:t>
            </w:r>
          </w:p>
        </w:tc>
        <w:tc>
          <w:tcPr>
            <w:tcW w:w="2885" w:type="dxa"/>
            <w:vAlign w:val="center"/>
          </w:tcPr>
          <w:p w14:paraId="0356E7F7">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r w14:paraId="266B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EDAF400">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在国外召开的其他国际学术会议</w:t>
            </w:r>
          </w:p>
        </w:tc>
        <w:tc>
          <w:tcPr>
            <w:tcW w:w="2885" w:type="dxa"/>
            <w:vAlign w:val="center"/>
          </w:tcPr>
          <w:p w14:paraId="30CF93F2">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6DAC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238DB2C">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在国内召开的其他国际学术会议</w:t>
            </w:r>
          </w:p>
        </w:tc>
        <w:tc>
          <w:tcPr>
            <w:tcW w:w="2885" w:type="dxa"/>
            <w:vAlign w:val="center"/>
          </w:tcPr>
          <w:p w14:paraId="5A3CE865">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70FB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8183831">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国内一级学会会议</w:t>
            </w:r>
          </w:p>
        </w:tc>
        <w:tc>
          <w:tcPr>
            <w:tcW w:w="2885" w:type="dxa"/>
            <w:vAlign w:val="center"/>
          </w:tcPr>
          <w:p w14:paraId="24306E11">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p>
        </w:tc>
      </w:tr>
      <w:tr w14:paraId="12A2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5B27ADF">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国内二级学会会议</w:t>
            </w:r>
          </w:p>
        </w:tc>
        <w:tc>
          <w:tcPr>
            <w:tcW w:w="2885" w:type="dxa"/>
            <w:vAlign w:val="center"/>
          </w:tcPr>
          <w:p w14:paraId="5B20C142">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p>
        </w:tc>
      </w:tr>
    </w:tbl>
    <w:p w14:paraId="10461936">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同一篇论文获得多个层级或多个类别优秀论文奖励的，原则上按照最高分项目计分，不重复累计。</w:t>
      </w:r>
    </w:p>
    <w:p w14:paraId="7005E85C">
      <w:pPr>
        <w:spacing w:after="0" w:line="560" w:lineRule="exact"/>
        <w:ind w:firstLine="640" w:firstLineChars="200"/>
        <w:jc w:val="both"/>
        <w:rPr>
          <w:rFonts w:hint="eastAsia" w:ascii="黑体" w:hAnsi="黑体" w:eastAsia="黑体" w:cs="Times New Roman"/>
          <w:sz w:val="32"/>
          <w:szCs w:val="32"/>
        </w:rPr>
      </w:pPr>
      <w:r>
        <w:rPr>
          <w:rFonts w:ascii="黑体" w:hAnsi="黑体" w:eastAsia="黑体" w:cs="Times New Roman"/>
          <w:sz w:val="32"/>
          <w:szCs w:val="32"/>
        </w:rPr>
        <w:t>九、科研项目及人才计划类</w:t>
      </w:r>
    </w:p>
    <w:p w14:paraId="56D1D699">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研究生获批国家级科研项目、人才计划以及学校研究生科研创新项目的，根据项目或计划层级及本人实际贡献进行计分。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6660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9265B98">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项目或人才计划</w:t>
            </w:r>
          </w:p>
        </w:tc>
        <w:tc>
          <w:tcPr>
            <w:tcW w:w="2885" w:type="dxa"/>
            <w:vAlign w:val="center"/>
          </w:tcPr>
          <w:p w14:paraId="5F94B141">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基础分值</w:t>
            </w:r>
          </w:p>
        </w:tc>
      </w:tr>
      <w:tr w14:paraId="56FB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22579E7">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国家自然科学基金青年学生基础研究项目</w:t>
            </w:r>
          </w:p>
        </w:tc>
        <w:tc>
          <w:tcPr>
            <w:tcW w:w="2885" w:type="dxa"/>
            <w:vAlign w:val="center"/>
          </w:tcPr>
          <w:p w14:paraId="62C26723">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15分/项</w:t>
            </w:r>
          </w:p>
        </w:tc>
      </w:tr>
      <w:tr w14:paraId="32F2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AE42566">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中国科协青年人才托举工程博士生专项</w:t>
            </w:r>
          </w:p>
        </w:tc>
        <w:tc>
          <w:tcPr>
            <w:tcW w:w="2885" w:type="dxa"/>
            <w:vAlign w:val="center"/>
          </w:tcPr>
          <w:p w14:paraId="6D7B6C2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10分/项</w:t>
            </w:r>
          </w:p>
        </w:tc>
      </w:tr>
      <w:tr w14:paraId="68DB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B1F82A0">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北京理工大学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研究生科研水平和创新能力提升专项计划</w:t>
            </w:r>
            <w:r>
              <w:rPr>
                <w:rFonts w:hint="eastAsia" w:ascii="Times New Roman" w:hAnsi="Times New Roman" w:eastAsia="仿宋_GB2312" w:cs="Times New Roman"/>
                <w:sz w:val="32"/>
                <w:szCs w:val="32"/>
              </w:rPr>
              <w:t>”</w:t>
            </w:r>
          </w:p>
        </w:tc>
        <w:tc>
          <w:tcPr>
            <w:tcW w:w="2885" w:type="dxa"/>
            <w:vAlign w:val="center"/>
          </w:tcPr>
          <w:p w14:paraId="52E2FB9B">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分/项</w:t>
            </w:r>
          </w:p>
        </w:tc>
      </w:tr>
    </w:tbl>
    <w:p w14:paraId="21C5CA36">
      <w:pPr>
        <w:spacing w:after="0" w:line="56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其中，</w:t>
      </w:r>
      <w:r>
        <w:rPr>
          <w:rFonts w:ascii="Times New Roman" w:hAnsi="Times New Roman" w:eastAsia="仿宋_GB2312" w:cs="Times New Roman"/>
          <w:sz w:val="32"/>
          <w:szCs w:val="32"/>
        </w:rPr>
        <w:t>项目负责人</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；排名第二至第五的，</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；其他主要参与成员，</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w:t>
      </w:r>
    </w:p>
    <w:p w14:paraId="6CA40CF8">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国家自然科学基金青年学生基础研究项目、中国科协青年人才托举工程博士生专项按照正式获批项目或入选计划计分。</w:t>
      </w:r>
    </w:p>
    <w:p w14:paraId="3EA1419B">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十、其他</w:t>
      </w:r>
    </w:p>
    <w:p w14:paraId="7BFA2216">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1.同一成果同时符合本办法多个计分项目的，原则上按照最高分项目计分，不重复累计；不同成果可分别累计计分。</w:t>
      </w:r>
    </w:p>
    <w:p w14:paraId="3AA16B1A">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2.申请人申报的论文、专利、科研奖励、著作、软件著作权、标准、竞赛、科研项目等成果，均须提交能够证明成果真实性、成果等级、本人署名及实际贡献的有效材料。</w:t>
      </w:r>
    </w:p>
    <w:p w14:paraId="76FDFFC8">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3.对成果类型、成果层级、成果等级、作者或完成人排序、本人实际贡献等存在争议的，由学院研究生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评审委员会根据相关证明材料研究认定。</w:t>
      </w:r>
    </w:p>
    <w:p w14:paraId="0E52B85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4.对本办法未列明，但在学术研究、科技创新、成果转化等方面取得具有突出创新价值、重大社会经济效益或重要行业影响的成果，由申请人提供完整证明材料，经学院研究生</w:t>
      </w:r>
      <w:r>
        <w:rPr>
          <w:rFonts w:hint="eastAsia" w:ascii="Times New Roman" w:hAnsi="Times New Roman" w:eastAsia="仿宋_GB2312" w:cs="Times New Roman"/>
          <w:sz w:val="32"/>
          <w:szCs w:val="32"/>
          <w:lang w:eastAsia="zh-CN"/>
        </w:rPr>
        <w:t>学业奖学金</w:t>
      </w:r>
      <w:r>
        <w:rPr>
          <w:rFonts w:hint="eastAsia" w:ascii="Times New Roman" w:hAnsi="Times New Roman" w:eastAsia="仿宋_GB2312" w:cs="Times New Roman"/>
          <w:sz w:val="32"/>
          <w:szCs w:val="32"/>
        </w:rPr>
        <w:t>评审委员会研究认定后，参照同层级、同类型成果确定相应分值。</w:t>
      </w:r>
    </w:p>
    <w:p w14:paraId="3321CA24">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5.申请人须对申报成果和证明材料的真实性、准确性、完整性负责。存在弄虚作假、虚报贡献、重复使用不符合规定的成果等情形的，按照学校及学院有关规定处理。</w:t>
      </w:r>
      <w:r>
        <w:rPr>
          <w:rFonts w:ascii="Times New Roman" w:hAnsi="Times New Roman" w:eastAsia="仿宋_GB2312" w:cs="Times New Roman"/>
          <w:sz w:val="32"/>
          <w:szCs w:val="32"/>
        </w:rPr>
        <w:br w:type="page"/>
      </w:r>
    </w:p>
    <w:p w14:paraId="38F6DAF2">
      <w:pPr>
        <w:spacing w:after="156" w:afterLines="50" w:line="560" w:lineRule="exact"/>
        <w:rPr>
          <w:rFonts w:hint="eastAsia" w:ascii="黑体" w:hAnsi="黑体" w:eastAsia="黑体" w:cs="Times New Roman"/>
          <w:sz w:val="32"/>
          <w:szCs w:val="32"/>
        </w:rPr>
      </w:pPr>
      <w:r>
        <w:rPr>
          <w:rFonts w:hint="eastAsia" w:ascii="黑体" w:hAnsi="黑体" w:eastAsia="黑体" w:cs="Times New Roman"/>
          <w:sz w:val="32"/>
          <w:szCs w:val="32"/>
        </w:rPr>
        <w:t>附录B：研究生综合测评评定和评分办法</w:t>
      </w:r>
    </w:p>
    <w:p w14:paraId="4C832733">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合测评坚持成果导向、贡献导向、示范导向，重点考察研究生在相关领域取得的代表性成果和实际成效。根据研究生在思想政治、党建团建、学生工作、社会实践、志愿服务、集体建设、校园文化及服务学校学院发展等方面取得的成果和实际贡献进行综合评定。</w:t>
      </w:r>
    </w:p>
    <w:p w14:paraId="61E01A79">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综合测评采用</w:t>
      </w:r>
      <w:r>
        <w:rPr>
          <w:rFonts w:hint="eastAsia" w:ascii="Times New Roman" w:hAnsi="Times New Roman" w:eastAsia="仿宋_GB2312" w:cs="Times New Roman"/>
          <w:b/>
          <w:bCs/>
          <w:sz w:val="32"/>
          <w:szCs w:val="32"/>
        </w:rPr>
        <w:t>累计</w:t>
      </w:r>
      <w:r>
        <w:rPr>
          <w:rFonts w:ascii="Times New Roman" w:hAnsi="Times New Roman" w:eastAsia="仿宋_GB2312" w:cs="Times New Roman"/>
          <w:b/>
          <w:bCs/>
          <w:sz w:val="32"/>
          <w:szCs w:val="32"/>
        </w:rPr>
        <w:t>计分制</w:t>
      </w:r>
      <w:r>
        <w:rPr>
          <w:rFonts w:ascii="Times New Roman" w:hAnsi="Times New Roman" w:eastAsia="仿宋_GB2312" w:cs="Times New Roman"/>
          <w:sz w:val="32"/>
          <w:szCs w:val="32"/>
        </w:rPr>
        <w:t>。申请人符合本办法规定的不同成果、荣誉和贡献可累计计分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综合测评原始累计得分达到或超过100分的，均按100分计</w:t>
      </w:r>
      <w:r>
        <w:rPr>
          <w:rFonts w:hint="eastAsia" w:ascii="Times New Roman" w:hAnsi="Times New Roman" w:eastAsia="仿宋_GB2312" w:cs="Times New Roman"/>
          <w:sz w:val="32"/>
          <w:szCs w:val="32"/>
        </w:rPr>
        <w:t>。综合测评主要涵盖荣誉表彰、社会工作、志愿服务及公共服务、校园文化及文体活动类别。</w:t>
      </w:r>
    </w:p>
    <w:p w14:paraId="62EBA038">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一、荣誉表彰类</w:t>
      </w:r>
    </w:p>
    <w:p w14:paraId="54C2041F">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研究生个人或其主要参与的集体在党建思想政治、团学工作、社会实践、志愿服务、班级建设、校园文化等方面获得的重要荣誉、示范项目和典型表彰，按照</w:t>
      </w:r>
      <w:r>
        <w:rPr>
          <w:rFonts w:hint="eastAsia" w:ascii="Times New Roman" w:hAnsi="Times New Roman" w:eastAsia="仿宋_GB2312" w:cs="Times New Roman"/>
          <w:sz w:val="32"/>
          <w:szCs w:val="32"/>
        </w:rPr>
        <w:t>以下原则</w:t>
      </w:r>
      <w:r>
        <w:rPr>
          <w:rFonts w:ascii="Times New Roman" w:hAnsi="Times New Roman" w:eastAsia="仿宋_GB2312" w:cs="Times New Roman"/>
          <w:sz w:val="32"/>
          <w:szCs w:val="32"/>
        </w:rPr>
        <w:t>确定基础分值。</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7E6B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B519D54">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成果层级</w:t>
            </w:r>
          </w:p>
        </w:tc>
        <w:tc>
          <w:tcPr>
            <w:tcW w:w="2885" w:type="dxa"/>
            <w:vAlign w:val="center"/>
          </w:tcPr>
          <w:p w14:paraId="550D686B">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建议得分</w:t>
            </w:r>
          </w:p>
        </w:tc>
      </w:tr>
      <w:tr w14:paraId="030C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7BC8909">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国家级重要个人荣誉</w:t>
            </w:r>
          </w:p>
        </w:tc>
        <w:tc>
          <w:tcPr>
            <w:tcW w:w="2885" w:type="dxa"/>
            <w:vAlign w:val="center"/>
          </w:tcPr>
          <w:p w14:paraId="66E1E4A0">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100</w:t>
            </w:r>
          </w:p>
        </w:tc>
      </w:tr>
      <w:tr w14:paraId="7FC8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ACD7B4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国家级重要集体成果</w:t>
            </w:r>
          </w:p>
        </w:tc>
        <w:tc>
          <w:tcPr>
            <w:tcW w:w="2885" w:type="dxa"/>
            <w:vAlign w:val="center"/>
          </w:tcPr>
          <w:p w14:paraId="57FF7F6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100×系数</w:t>
            </w:r>
            <w:r>
              <w:rPr>
                <w:rFonts w:hint="eastAsia" w:ascii="Times New Roman" w:hAnsi="Times New Roman" w:eastAsia="仿宋_GB2312" w:cs="Times New Roman"/>
                <w:i/>
                <w:iCs/>
                <w:sz w:val="32"/>
                <w:szCs w:val="32"/>
              </w:rPr>
              <w:t>k</w:t>
            </w:r>
          </w:p>
        </w:tc>
      </w:tr>
      <w:tr w14:paraId="48A5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961BB8C">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省部级重要个人荣誉</w:t>
            </w:r>
          </w:p>
        </w:tc>
        <w:tc>
          <w:tcPr>
            <w:tcW w:w="2885" w:type="dxa"/>
            <w:vAlign w:val="center"/>
          </w:tcPr>
          <w:p w14:paraId="4564D75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60</w:t>
            </w:r>
          </w:p>
        </w:tc>
      </w:tr>
      <w:tr w14:paraId="32D1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40ABAC6">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省部级重要集体成果</w:t>
            </w:r>
          </w:p>
        </w:tc>
        <w:tc>
          <w:tcPr>
            <w:tcW w:w="2885" w:type="dxa"/>
            <w:vAlign w:val="center"/>
          </w:tcPr>
          <w:p w14:paraId="7AABFB3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60×系数</w:t>
            </w:r>
            <w:r>
              <w:rPr>
                <w:rFonts w:hint="eastAsia" w:ascii="Times New Roman" w:hAnsi="Times New Roman" w:eastAsia="仿宋_GB2312" w:cs="Times New Roman"/>
                <w:i/>
                <w:iCs/>
                <w:sz w:val="32"/>
                <w:szCs w:val="32"/>
              </w:rPr>
              <w:t>k</w:t>
            </w:r>
          </w:p>
        </w:tc>
      </w:tr>
      <w:tr w14:paraId="6869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2AAF0F49">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校级重大成果</w:t>
            </w:r>
          </w:p>
        </w:tc>
        <w:tc>
          <w:tcPr>
            <w:tcW w:w="2885" w:type="dxa"/>
            <w:vAlign w:val="center"/>
          </w:tcPr>
          <w:p w14:paraId="18EA1D11">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30×系数</w:t>
            </w:r>
            <w:r>
              <w:rPr>
                <w:rFonts w:hint="eastAsia" w:ascii="Times New Roman" w:hAnsi="Times New Roman" w:eastAsia="仿宋_GB2312" w:cs="Times New Roman"/>
                <w:i/>
                <w:iCs/>
                <w:sz w:val="32"/>
                <w:szCs w:val="32"/>
              </w:rPr>
              <w:t>k</w:t>
            </w:r>
          </w:p>
        </w:tc>
      </w:tr>
      <w:tr w14:paraId="4FE2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A9AA15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校级一般重要成果</w:t>
            </w:r>
          </w:p>
        </w:tc>
        <w:tc>
          <w:tcPr>
            <w:tcW w:w="2885" w:type="dxa"/>
            <w:vAlign w:val="center"/>
          </w:tcPr>
          <w:p w14:paraId="492C9F29">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15×系数</w:t>
            </w:r>
            <w:r>
              <w:rPr>
                <w:rFonts w:hint="eastAsia" w:ascii="Times New Roman" w:hAnsi="Times New Roman" w:eastAsia="仿宋_GB2312" w:cs="Times New Roman"/>
                <w:i/>
                <w:iCs/>
                <w:sz w:val="32"/>
                <w:szCs w:val="32"/>
              </w:rPr>
              <w:t>k</w:t>
            </w:r>
          </w:p>
        </w:tc>
      </w:tr>
      <w:tr w14:paraId="3D97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5B7D119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院级重要成果</w:t>
            </w:r>
          </w:p>
        </w:tc>
        <w:tc>
          <w:tcPr>
            <w:tcW w:w="2885" w:type="dxa"/>
            <w:vAlign w:val="center"/>
          </w:tcPr>
          <w:p w14:paraId="6819B73C">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5×系数</w:t>
            </w:r>
            <w:r>
              <w:rPr>
                <w:rFonts w:hint="eastAsia" w:ascii="Times New Roman" w:hAnsi="Times New Roman" w:eastAsia="仿宋_GB2312" w:cs="Times New Roman"/>
                <w:i/>
                <w:iCs/>
                <w:sz w:val="32"/>
                <w:szCs w:val="32"/>
              </w:rPr>
              <w:t>k</w:t>
            </w:r>
          </w:p>
        </w:tc>
      </w:tr>
    </w:tbl>
    <w:p w14:paraId="1B4DA9A9">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集体成果按照申请人的实际贡献确定贡献系数：主要负责人、项目负责人、党支部书记等</w:t>
      </w:r>
      <w:r>
        <w:rPr>
          <w:rFonts w:hint="eastAsia" w:ascii="Times New Roman" w:hAnsi="Times New Roman" w:eastAsia="仿宋_GB2312" w:cs="Times New Roman"/>
          <w:sz w:val="32"/>
          <w:szCs w:val="32"/>
        </w:rPr>
        <w:t>，</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=1；核心骨干</w:t>
      </w:r>
      <w:r>
        <w:rPr>
          <w:rFonts w:hint="eastAsia" w:ascii="Times New Roman" w:hAnsi="Times New Roman" w:eastAsia="仿宋_GB2312" w:cs="Times New Roman"/>
          <w:sz w:val="32"/>
          <w:szCs w:val="32"/>
        </w:rPr>
        <w:t>（排序前三），</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=0.6；其他主要参与成员</w:t>
      </w:r>
      <w:r>
        <w:rPr>
          <w:rFonts w:hint="eastAsia" w:ascii="Times New Roman" w:hAnsi="Times New Roman" w:eastAsia="仿宋_GB2312" w:cs="Times New Roman"/>
          <w:sz w:val="32"/>
          <w:szCs w:val="32"/>
        </w:rPr>
        <w:t>，</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=0.3。</w:t>
      </w:r>
    </w:p>
    <w:p w14:paraId="1C54E0A3">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国家级重要个人荣誉包括但不限于全国优秀共产党员、中国青年五四奖章、全国优秀共青团干部、全国优秀共青团员、全国高校“百名研究生党员标兵”、全国大学生年度人物、全国最美大学生、中国大学生自强之星等。</w:t>
      </w:r>
    </w:p>
    <w:p w14:paraId="7F3A9D76">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国家级重要集体成果包括但不限于全国高校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百个研究生样板党支部”、全国大中专学生志愿者暑期文化科技卫生“三下乡”社会实践国家级重要表彰，以及国家部委、中央群团组织等认定的其他具有全国示范意义的党建、团建、社会实践和志愿服务成果。</w:t>
      </w:r>
    </w:p>
    <w:p w14:paraId="06B7A651">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省部级重要个人荣誉包括但不限于北京市三好学生、北京市优秀学生干部、北京市优秀共产党员、北京市优秀党务工作者、北京市优秀共青团员、北京市优秀共青团干部等。</w:t>
      </w:r>
    </w:p>
    <w:p w14:paraId="4E741B03">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省部级重要集体成果包括但不限于北京市十佳班集体、北京市先进班集体、北京高校“红色1+1”示范活动一等奖、北京市“青年服务国家”首都大学生社会实践重要表彰或优秀成果，以及其他具有省部级示范意义的党建、团建、社会实践和集体建设成果。</w:t>
      </w:r>
    </w:p>
    <w:p w14:paraId="573D14A9">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校级重大成果主要指学校认定的具有较强示范性、代表性和品牌影响力的成果，包括但不限于</w:t>
      </w:r>
      <w:r>
        <w:rPr>
          <w:rFonts w:hint="eastAsia" w:ascii="Times New Roman" w:hAnsi="Times New Roman" w:eastAsia="仿宋_GB2312" w:cs="Times New Roman"/>
          <w:sz w:val="32"/>
          <w:szCs w:val="32"/>
        </w:rPr>
        <w:t>青春榜样等</w:t>
      </w:r>
      <w:r>
        <w:rPr>
          <w:rFonts w:ascii="Times New Roman" w:hAnsi="Times New Roman" w:eastAsia="仿宋_GB2312" w:cs="Times New Roman"/>
          <w:sz w:val="32"/>
          <w:szCs w:val="32"/>
        </w:rPr>
        <w:t>学校高层次综合性个人荣誉、学生党建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金品牌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、校级党建工作样板支部、校级重大党建思政品牌项目、校级十佳或标杆性集体等。</w:t>
      </w:r>
    </w:p>
    <w:p w14:paraId="5D4E77AD">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校级一般重要成果主要包括校级优秀共产党员、优秀党务工作者、优秀学生干部、优秀共青团员、优秀共青团干部、优秀志愿者、优秀社会实践个人，以及校级先进党支部、优秀班集体、优秀团支部、社会实践优秀团队等。</w:t>
      </w:r>
    </w:p>
    <w:p w14:paraId="26521159">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未列入上述示例，但经国家、省部级、学校或学院正式认定，与上述成果在层级、影响力和示范意义上相当的，可由学院研究生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评审委员会参照相应层级认定。</w:t>
      </w:r>
    </w:p>
    <w:p w14:paraId="38ECBBCA">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二、社会工作类</w:t>
      </w:r>
    </w:p>
    <w:p w14:paraId="7854B2BC">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学生社会工作主要评价研究生在党支部、团支部、班级、研究生会及学校、学院其他学生组织中承担公共事务和服务同学的实际投入。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08EA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7E1C347">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任职层级</w:t>
            </w:r>
          </w:p>
        </w:tc>
        <w:tc>
          <w:tcPr>
            <w:tcW w:w="2885" w:type="dxa"/>
            <w:vAlign w:val="center"/>
          </w:tcPr>
          <w:p w14:paraId="3B0D5109">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建议得分</w:t>
            </w:r>
          </w:p>
        </w:tc>
      </w:tr>
      <w:tr w14:paraId="7F35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7C9BB7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国家级重要组织</w:t>
            </w:r>
          </w:p>
        </w:tc>
        <w:tc>
          <w:tcPr>
            <w:tcW w:w="2885" w:type="dxa"/>
            <w:vAlign w:val="center"/>
          </w:tcPr>
          <w:p w14:paraId="4129E4A7">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60×系数</w:t>
            </w:r>
            <w:r>
              <w:rPr>
                <w:rFonts w:hint="eastAsia" w:ascii="Times New Roman" w:hAnsi="Times New Roman" w:eastAsia="仿宋_GB2312" w:cs="Times New Roman"/>
                <w:i/>
                <w:iCs/>
                <w:sz w:val="32"/>
                <w:szCs w:val="32"/>
              </w:rPr>
              <w:t>k</w:t>
            </w:r>
          </w:p>
        </w:tc>
      </w:tr>
      <w:tr w14:paraId="2F73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9C51F6E">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省部级重要组织</w:t>
            </w:r>
          </w:p>
        </w:tc>
        <w:tc>
          <w:tcPr>
            <w:tcW w:w="2885" w:type="dxa"/>
            <w:vAlign w:val="center"/>
          </w:tcPr>
          <w:p w14:paraId="3A5379C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40×系数</w:t>
            </w:r>
            <w:r>
              <w:rPr>
                <w:rFonts w:hint="eastAsia" w:ascii="Times New Roman" w:hAnsi="Times New Roman" w:eastAsia="仿宋_GB2312" w:cs="Times New Roman"/>
                <w:i/>
                <w:iCs/>
                <w:sz w:val="32"/>
                <w:szCs w:val="32"/>
              </w:rPr>
              <w:t>k</w:t>
            </w:r>
          </w:p>
        </w:tc>
      </w:tr>
      <w:tr w14:paraId="6112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55AA01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校级重要组织</w:t>
            </w:r>
          </w:p>
        </w:tc>
        <w:tc>
          <w:tcPr>
            <w:tcW w:w="2885" w:type="dxa"/>
            <w:vAlign w:val="center"/>
          </w:tcPr>
          <w:p w14:paraId="00BCABA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30×系数</w:t>
            </w:r>
            <w:r>
              <w:rPr>
                <w:rFonts w:hint="eastAsia" w:ascii="Times New Roman" w:hAnsi="Times New Roman" w:eastAsia="仿宋_GB2312" w:cs="Times New Roman"/>
                <w:i/>
                <w:iCs/>
                <w:sz w:val="32"/>
                <w:szCs w:val="32"/>
              </w:rPr>
              <w:t>k</w:t>
            </w:r>
          </w:p>
        </w:tc>
      </w:tr>
      <w:tr w14:paraId="48D1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3ECC387">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院级重要组织</w:t>
            </w:r>
          </w:p>
        </w:tc>
        <w:tc>
          <w:tcPr>
            <w:tcW w:w="2885" w:type="dxa"/>
            <w:vAlign w:val="center"/>
          </w:tcPr>
          <w:p w14:paraId="7D15CFC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20×系数</w:t>
            </w:r>
            <w:r>
              <w:rPr>
                <w:rFonts w:hint="eastAsia" w:ascii="Times New Roman" w:hAnsi="Times New Roman" w:eastAsia="仿宋_GB2312" w:cs="Times New Roman"/>
                <w:i/>
                <w:iCs/>
                <w:sz w:val="32"/>
                <w:szCs w:val="32"/>
              </w:rPr>
              <w:t>k</w:t>
            </w:r>
          </w:p>
        </w:tc>
      </w:tr>
      <w:tr w14:paraId="670C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19A97E66">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基层组织</w:t>
            </w:r>
          </w:p>
        </w:tc>
        <w:tc>
          <w:tcPr>
            <w:tcW w:w="2885" w:type="dxa"/>
            <w:vAlign w:val="center"/>
          </w:tcPr>
          <w:p w14:paraId="1662CAD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10×系数</w:t>
            </w:r>
            <w:r>
              <w:rPr>
                <w:rFonts w:hint="eastAsia" w:ascii="Times New Roman" w:hAnsi="Times New Roman" w:eastAsia="仿宋_GB2312" w:cs="Times New Roman"/>
                <w:i/>
                <w:iCs/>
                <w:sz w:val="32"/>
                <w:szCs w:val="32"/>
              </w:rPr>
              <w:t>k</w:t>
            </w:r>
          </w:p>
        </w:tc>
      </w:tr>
    </w:tbl>
    <w:p w14:paraId="25B28F15">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按照</w:t>
      </w:r>
      <w:r>
        <w:rPr>
          <w:rFonts w:hint="eastAsia" w:ascii="Times New Roman" w:hAnsi="Times New Roman" w:eastAsia="仿宋_GB2312" w:cs="Times New Roman"/>
          <w:sz w:val="32"/>
          <w:szCs w:val="32"/>
        </w:rPr>
        <w:t>任职组织</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任职贡献</w:t>
      </w:r>
      <w:r>
        <w:rPr>
          <w:rFonts w:ascii="Times New Roman" w:hAnsi="Times New Roman" w:eastAsia="仿宋_GB2312" w:cs="Times New Roman"/>
          <w:sz w:val="32"/>
          <w:szCs w:val="32"/>
        </w:rPr>
        <w:t>确定系数：主要负责人、第一负责人、主席/会长、</w:t>
      </w:r>
      <w:r>
        <w:rPr>
          <w:rFonts w:hint="eastAsia" w:ascii="Times New Roman" w:hAnsi="Times New Roman" w:eastAsia="仿宋_GB2312" w:cs="Times New Roman"/>
          <w:sz w:val="32"/>
          <w:szCs w:val="32"/>
        </w:rPr>
        <w:t>班长、</w:t>
      </w:r>
      <w:r>
        <w:rPr>
          <w:rFonts w:ascii="Times New Roman" w:hAnsi="Times New Roman" w:eastAsia="仿宋_GB2312" w:cs="Times New Roman"/>
          <w:sz w:val="32"/>
          <w:szCs w:val="32"/>
        </w:rPr>
        <w:t>党支部书记等</w:t>
      </w:r>
      <w:r>
        <w:rPr>
          <w:rFonts w:hint="eastAsia" w:ascii="Times New Roman" w:hAnsi="Times New Roman" w:eastAsia="仿宋_GB2312" w:cs="Times New Roman"/>
          <w:sz w:val="32"/>
          <w:szCs w:val="32"/>
        </w:rPr>
        <w:t>，</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=1；共同负责人</w:t>
      </w:r>
      <w:r>
        <w:rPr>
          <w:rFonts w:hint="eastAsia" w:ascii="Times New Roman" w:hAnsi="Times New Roman" w:eastAsia="仿宋_GB2312" w:cs="Times New Roman"/>
          <w:sz w:val="32"/>
          <w:szCs w:val="32"/>
        </w:rPr>
        <w:t>、副主席/副会长、班委、党支部支委等，</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=0.6；核心骨干、部门主要负责人</w:t>
      </w:r>
      <w:r>
        <w:rPr>
          <w:rFonts w:hint="eastAsia" w:ascii="Times New Roman" w:hAnsi="Times New Roman" w:eastAsia="仿宋_GB2312" w:cs="Times New Roman"/>
          <w:sz w:val="32"/>
          <w:szCs w:val="32"/>
        </w:rPr>
        <w:t>，</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=0.3。</w:t>
      </w:r>
    </w:p>
    <w:p w14:paraId="5DD4DEF6">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国家级重要组织负责人包括中华全国学生联合会等全国性学生组织；中国计算机学会（CCF）、中国人工智能学会（CAAI）等全国性一级学会所属学生或青年组织；IEEE、ACM等具有重要国际影响力的专业组织中全国性或总部层面的学生、青年组织等。</w:t>
      </w:r>
    </w:p>
    <w:p w14:paraId="4A7A6F30">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省部级重要组织包括北京市学生联合会等省级学生组织；全国性一级学会省级分支机构或省级一级学会所属学生、青年组织；IEEE、ACM等国际专业组织区域性学生或青年组织等。</w:t>
      </w:r>
    </w:p>
    <w:p w14:paraId="56086CE3">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校级重要组织包括校团委、校研究生会；学校正式设立的重要学生党建、团学、志愿服务、创新实践等组织；全国性一级学会、重要国际专业组织在学校设立的正式学生分支机构等。</w:t>
      </w:r>
    </w:p>
    <w:p w14:paraId="1C462240">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院级重要组织包括学院团委、研究生会、新媒体中心、共学会。</w:t>
      </w:r>
    </w:p>
    <w:p w14:paraId="44C6D5A7">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基层组织包括学生党支部、学生行政班。</w:t>
      </w:r>
    </w:p>
    <w:p w14:paraId="0E31396C">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同一学年同时担任多个学生工作职务的，只按最高职务计分一次，不累计任职分值</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任职须满一学年且考核合格。任职期间取得的荣誉、品牌项目、党建成果、社会实践成果等，可作为独立成果按照本办法相关条款另行计分。</w:t>
      </w:r>
    </w:p>
    <w:p w14:paraId="032D2243">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三、</w:t>
      </w:r>
      <w:r>
        <w:rPr>
          <w:rFonts w:ascii="黑体" w:hAnsi="黑体" w:eastAsia="黑体" w:cs="Times New Roman"/>
          <w:sz w:val="32"/>
          <w:szCs w:val="32"/>
        </w:rPr>
        <w:t>志愿服务及公共服务</w:t>
      </w:r>
      <w:r>
        <w:rPr>
          <w:rFonts w:hint="eastAsia" w:ascii="黑体" w:hAnsi="黑体" w:eastAsia="黑体" w:cs="Times New Roman"/>
          <w:sz w:val="32"/>
          <w:szCs w:val="32"/>
        </w:rPr>
        <w:t>类</w:t>
      </w:r>
    </w:p>
    <w:p w14:paraId="226CB304">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研究生参加学校、学院或上级单位组织认定的社会实践、志愿服务、公益服务、科普宣传、招生宣传、迎新服务、重大活动保障等，按照实际参与情况计分。</w:t>
      </w:r>
    </w:p>
    <w:p w14:paraId="0F2169CC">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参加学校、学院统一组织或正式认定的志愿服务，原则上按照有效志愿服务时长</w:t>
      </w:r>
      <w:r>
        <w:rPr>
          <w:rFonts w:hint="eastAsia" w:ascii="Times New Roman" w:hAnsi="Times New Roman" w:eastAsia="仿宋_GB2312" w:cs="Times New Roman"/>
          <w:sz w:val="32"/>
          <w:szCs w:val="32"/>
        </w:rPr>
        <w:t>（以录入志愿北京时长为准）</w:t>
      </w:r>
      <w:r>
        <w:rPr>
          <w:rFonts w:ascii="Times New Roman" w:hAnsi="Times New Roman" w:eastAsia="仿宋_GB2312" w:cs="Times New Roman"/>
          <w:sz w:val="32"/>
          <w:szCs w:val="32"/>
        </w:rPr>
        <w:t>计算：</w:t>
      </w:r>
    </w:p>
    <w:p w14:paraId="6A2BCB54">
      <w:pPr>
        <w:pStyle w:val="35"/>
        <w:spacing w:line="240" w:lineRule="auto"/>
      </w:pPr>
      <w:r>
        <w:tab/>
      </w:r>
      <w:r>
        <w:rPr>
          <w:position w:val="-30"/>
        </w:rPr>
        <w:object>
          <v:shape id="_x0000_i1034" o:spt="75" type="#_x0000_t75" style="height:41.9pt;width:134.35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4" r:id="rId24">
            <o:LockedField>false</o:LockedField>
          </o:OLEObject>
        </w:object>
      </w:r>
    </w:p>
    <w:p w14:paraId="4A1CFDA4">
      <w:pPr>
        <w:spacing w:after="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即每累计</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0小时计1分，不足</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0小时部分不计分</w:t>
      </w:r>
      <w:r>
        <w:rPr>
          <w:rFonts w:hint="eastAsia" w:ascii="Times New Roman" w:hAnsi="Times New Roman" w:eastAsia="仿宋_GB2312" w:cs="Times New Roman"/>
          <w:sz w:val="32"/>
          <w:szCs w:val="32"/>
        </w:rPr>
        <w:t>，上限20分</w:t>
      </w:r>
      <w:r>
        <w:rPr>
          <w:rFonts w:ascii="Times New Roman" w:hAnsi="Times New Roman" w:eastAsia="仿宋_GB2312" w:cs="Times New Roman"/>
          <w:sz w:val="32"/>
          <w:szCs w:val="32"/>
        </w:rPr>
        <w:t>。</w:t>
      </w:r>
    </w:p>
    <w:p w14:paraId="33F9614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学校志愿者组织均已接入志愿北京平台，志愿服务时长以学校志愿者组织录入志愿北京的时长为准</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开具的志愿时长证明</w:t>
      </w:r>
      <w:r>
        <w:rPr>
          <w:rFonts w:ascii="Times New Roman" w:hAnsi="Times New Roman" w:eastAsia="仿宋_GB2312" w:cs="Times New Roman"/>
          <w:sz w:val="32"/>
          <w:szCs w:val="32"/>
        </w:rPr>
        <w:t>不予</w:t>
      </w:r>
      <w:r>
        <w:rPr>
          <w:rFonts w:hint="eastAsia" w:ascii="Times New Roman" w:hAnsi="Times New Roman" w:eastAsia="仿宋_GB2312" w:cs="Times New Roman"/>
          <w:sz w:val="32"/>
          <w:szCs w:val="32"/>
        </w:rPr>
        <w:t>计分</w:t>
      </w:r>
      <w:r>
        <w:rPr>
          <w:rFonts w:ascii="Times New Roman" w:hAnsi="Times New Roman" w:eastAsia="仿宋_GB2312" w:cs="Times New Roman"/>
          <w:sz w:val="32"/>
          <w:szCs w:val="32"/>
        </w:rPr>
        <w:t>。</w:t>
      </w:r>
    </w:p>
    <w:p w14:paraId="0C36346B">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四、</w:t>
      </w:r>
      <w:r>
        <w:rPr>
          <w:rFonts w:ascii="黑体" w:hAnsi="黑体" w:eastAsia="黑体" w:cs="Times New Roman"/>
          <w:sz w:val="32"/>
          <w:szCs w:val="32"/>
        </w:rPr>
        <w:t>校园文化及文体活动</w:t>
      </w:r>
      <w:r>
        <w:rPr>
          <w:rFonts w:hint="eastAsia" w:ascii="黑体" w:hAnsi="黑体" w:eastAsia="黑体" w:cs="Times New Roman"/>
          <w:sz w:val="32"/>
          <w:szCs w:val="32"/>
        </w:rPr>
        <w:t>类</w:t>
      </w:r>
    </w:p>
    <w:p w14:paraId="01166714">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校园文化及文体活动类</w:t>
      </w:r>
      <w:r>
        <w:rPr>
          <w:rFonts w:hint="eastAsia" w:ascii="Times New Roman" w:hAnsi="Times New Roman" w:eastAsia="仿宋_GB2312" w:cs="Times New Roman"/>
          <w:sz w:val="32"/>
          <w:szCs w:val="32"/>
        </w:rPr>
        <w:t>分参与计分和获奖计分，活动计分须符合以下条件：</w:t>
      </w:r>
    </w:p>
    <w:p w14:paraId="537D1E31">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1.由学校、学院统一组织、推荐、选拔或正式认定；</w:t>
      </w:r>
    </w:p>
    <w:p w14:paraId="01FC12ED">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2.实际完成活动或赛事主要环节，仅报名、入围但未实际参加的不计分；</w:t>
      </w:r>
    </w:p>
    <w:p w14:paraId="37F6EDBE">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3.活动已获得正式奖励的，仅计算获奖分，不再另计参与分；</w:t>
      </w:r>
      <w:r>
        <w:rPr>
          <w:rFonts w:ascii="Times New Roman" w:hAnsi="Times New Roman" w:eastAsia="仿宋_GB2312" w:cs="Times New Roman"/>
          <w:sz w:val="32"/>
          <w:szCs w:val="32"/>
        </w:rPr>
        <w:t>科技创新竞赛类</w:t>
      </w:r>
      <w:r>
        <w:rPr>
          <w:rFonts w:hint="eastAsia" w:ascii="Times New Roman" w:hAnsi="Times New Roman" w:eastAsia="仿宋_GB2312" w:cs="Times New Roman"/>
          <w:sz w:val="32"/>
          <w:szCs w:val="32"/>
        </w:rPr>
        <w:t>获奖按照附录A认定，未获奖可认定参与计分。</w:t>
      </w:r>
    </w:p>
    <w:p w14:paraId="6646A080">
      <w:pPr>
        <w:spacing w:after="0" w:line="560" w:lineRule="exact"/>
        <w:ind w:firstLine="640" w:firstLineChars="200"/>
        <w:jc w:val="both"/>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（一）参与计分</w:t>
      </w:r>
    </w:p>
    <w:p w14:paraId="330AD2DA">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代表学校或学院参加相关活动或赛事，完成规定赛程、展示、演出、竞赛等主要环节但未取得正式奖励的，每项计</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分</w:t>
      </w:r>
      <w:r>
        <w:rPr>
          <w:rFonts w:hint="eastAsia" w:ascii="Times New Roman" w:hAnsi="Times New Roman" w:eastAsia="仿宋_GB2312" w:cs="Times New Roman"/>
          <w:sz w:val="32"/>
          <w:szCs w:val="32"/>
        </w:rPr>
        <w:t>，上限10分</w:t>
      </w:r>
      <w:r>
        <w:rPr>
          <w:rFonts w:ascii="Times New Roman" w:hAnsi="Times New Roman" w:eastAsia="仿宋_GB2312" w:cs="Times New Roman"/>
          <w:sz w:val="32"/>
          <w:szCs w:val="32"/>
        </w:rPr>
        <w:t>。</w:t>
      </w:r>
    </w:p>
    <w:p w14:paraId="7CC386FC">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相关活动包括青马工程、</w:t>
      </w:r>
      <w:r>
        <w:rPr>
          <w:rFonts w:ascii="Times New Roman" w:hAnsi="Times New Roman" w:eastAsia="仿宋_GB2312" w:cs="Times New Roman"/>
          <w:sz w:val="32"/>
          <w:szCs w:val="32"/>
        </w:rPr>
        <w:t>世纪杯</w:t>
      </w:r>
      <w:r>
        <w:rPr>
          <w:rFonts w:hint="eastAsia" w:ascii="Times New Roman" w:hAnsi="Times New Roman" w:eastAsia="仿宋_GB2312" w:cs="Times New Roman"/>
          <w:sz w:val="32"/>
          <w:szCs w:val="32"/>
        </w:rPr>
        <w:t>、数学建模竞赛、深秋歌会、校运动会、一二九合唱、五四舞蹈展演等</w:t>
      </w:r>
      <w:r>
        <w:rPr>
          <w:rFonts w:ascii="Times New Roman" w:hAnsi="Times New Roman" w:eastAsia="仿宋_GB2312" w:cs="Times New Roman"/>
          <w:sz w:val="32"/>
          <w:szCs w:val="32"/>
        </w:rPr>
        <w:t>由学校、学院统一组织、推荐或选拔参加，并具有明确赛程、任务或展示环节的活动。</w:t>
      </w:r>
    </w:p>
    <w:p w14:paraId="26E4CD15">
      <w:pPr>
        <w:spacing w:after="0" w:line="560" w:lineRule="exact"/>
        <w:ind w:firstLine="640" w:firstLineChars="200"/>
        <w:jc w:val="both"/>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（二）获奖计分</w:t>
      </w:r>
    </w:p>
    <w:p w14:paraId="661C1790">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代表学校或学院参加具有一定影响力的思想文化、体育艺术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校园文化活动</w:t>
      </w:r>
      <w:r>
        <w:rPr>
          <w:rFonts w:hint="eastAsia" w:ascii="Times New Roman" w:hAnsi="Times New Roman" w:eastAsia="仿宋_GB2312" w:cs="Times New Roman"/>
          <w:sz w:val="32"/>
          <w:szCs w:val="32"/>
        </w:rPr>
        <w:t>或其他活动</w:t>
      </w:r>
      <w:r>
        <w:rPr>
          <w:rFonts w:ascii="Times New Roman" w:hAnsi="Times New Roman" w:eastAsia="仿宋_GB2312" w:cs="Times New Roman"/>
          <w:sz w:val="32"/>
          <w:szCs w:val="32"/>
        </w:rPr>
        <w:t>并取得正式奖励的，可按照以下标准计分</w:t>
      </w:r>
      <w:r>
        <w:rPr>
          <w:rFonts w:hint="eastAsia" w:ascii="Times New Roman" w:hAnsi="Times New Roman" w:eastAsia="仿宋_GB2312" w:cs="Times New Roman"/>
          <w:sz w:val="32"/>
          <w:szCs w:val="32"/>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3"/>
        <w:gridCol w:w="4161"/>
      </w:tblGrid>
      <w:tr w14:paraId="01FA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3" w:type="dxa"/>
            <w:vAlign w:val="center"/>
          </w:tcPr>
          <w:p w14:paraId="7D52D34B">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奖励层级</w:t>
            </w:r>
          </w:p>
        </w:tc>
        <w:tc>
          <w:tcPr>
            <w:tcW w:w="4161" w:type="dxa"/>
            <w:vAlign w:val="center"/>
          </w:tcPr>
          <w:p w14:paraId="6D80D1B7">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建议得分</w:t>
            </w:r>
          </w:p>
        </w:tc>
      </w:tr>
      <w:tr w14:paraId="6AD9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3" w:type="dxa"/>
            <w:vAlign w:val="center"/>
          </w:tcPr>
          <w:p w14:paraId="78BD4972">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国家级</w:t>
            </w:r>
          </w:p>
        </w:tc>
        <w:tc>
          <w:tcPr>
            <w:tcW w:w="4161" w:type="dxa"/>
            <w:vAlign w:val="center"/>
          </w:tcPr>
          <w:p w14:paraId="10B780EC">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30×系数</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×参与系数</w:t>
            </w:r>
            <w:r>
              <w:rPr>
                <w:rFonts w:hint="eastAsia" w:ascii="Times New Roman" w:hAnsi="Times New Roman" w:eastAsia="仿宋_GB2312" w:cs="Times New Roman"/>
                <w:i/>
                <w:iCs/>
                <w:sz w:val="32"/>
                <w:szCs w:val="32"/>
              </w:rPr>
              <w:t>p</w:t>
            </w:r>
          </w:p>
        </w:tc>
      </w:tr>
      <w:tr w14:paraId="2E84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3" w:type="dxa"/>
            <w:vAlign w:val="center"/>
          </w:tcPr>
          <w:p w14:paraId="38231099">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省部级</w:t>
            </w:r>
          </w:p>
        </w:tc>
        <w:tc>
          <w:tcPr>
            <w:tcW w:w="4161" w:type="dxa"/>
            <w:vAlign w:val="center"/>
          </w:tcPr>
          <w:p w14:paraId="3440A19D">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20×系数</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×参与系数</w:t>
            </w:r>
            <w:r>
              <w:rPr>
                <w:rFonts w:hint="eastAsia" w:ascii="Times New Roman" w:hAnsi="Times New Roman" w:eastAsia="仿宋_GB2312" w:cs="Times New Roman"/>
                <w:i/>
                <w:iCs/>
                <w:sz w:val="32"/>
                <w:szCs w:val="32"/>
              </w:rPr>
              <w:t>p</w:t>
            </w:r>
          </w:p>
        </w:tc>
      </w:tr>
      <w:tr w14:paraId="0EEE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73" w:type="dxa"/>
            <w:vAlign w:val="center"/>
          </w:tcPr>
          <w:p w14:paraId="37526DCD">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校级</w:t>
            </w:r>
          </w:p>
        </w:tc>
        <w:tc>
          <w:tcPr>
            <w:tcW w:w="4161" w:type="dxa"/>
            <w:vAlign w:val="center"/>
          </w:tcPr>
          <w:p w14:paraId="704B2C48">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15×系数</w:t>
            </w:r>
            <w:r>
              <w:rPr>
                <w:rFonts w:hint="eastAsia" w:ascii="Times New Roman" w:hAnsi="Times New Roman" w:eastAsia="仿宋_GB2312" w:cs="Times New Roman"/>
                <w:i/>
                <w:iCs/>
                <w:sz w:val="32"/>
                <w:szCs w:val="32"/>
              </w:rPr>
              <w:t>k</w:t>
            </w:r>
            <w:r>
              <w:rPr>
                <w:rFonts w:hint="eastAsia" w:ascii="Times New Roman" w:hAnsi="Times New Roman" w:eastAsia="仿宋_GB2312" w:cs="Times New Roman"/>
                <w:sz w:val="32"/>
                <w:szCs w:val="32"/>
              </w:rPr>
              <w:t>×参与系数</w:t>
            </w:r>
            <w:r>
              <w:rPr>
                <w:rFonts w:hint="eastAsia" w:ascii="Times New Roman" w:hAnsi="Times New Roman" w:eastAsia="仿宋_GB2312" w:cs="Times New Roman"/>
                <w:i/>
                <w:iCs/>
                <w:sz w:val="32"/>
                <w:szCs w:val="32"/>
              </w:rPr>
              <w:t>p</w:t>
            </w:r>
          </w:p>
        </w:tc>
      </w:tr>
    </w:tbl>
    <w:p w14:paraId="2477EA6F">
      <w:pPr>
        <w:spacing w:after="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按照</w:t>
      </w:r>
      <w:r>
        <w:rPr>
          <w:rFonts w:hint="eastAsia" w:ascii="Times New Roman" w:hAnsi="Times New Roman" w:eastAsia="仿宋_GB2312" w:cs="Times New Roman"/>
          <w:sz w:val="32"/>
          <w:szCs w:val="32"/>
        </w:rPr>
        <w:t>参加活动的获奖等级及参与情况</w:t>
      </w:r>
      <w:r>
        <w:rPr>
          <w:rFonts w:ascii="Times New Roman" w:hAnsi="Times New Roman" w:eastAsia="仿宋_GB2312" w:cs="Times New Roman"/>
          <w:sz w:val="32"/>
          <w:szCs w:val="32"/>
        </w:rPr>
        <w:t>确定系数：</w:t>
      </w:r>
      <w:r>
        <w:rPr>
          <w:rFonts w:hint="eastAsia" w:ascii="Times New Roman" w:hAnsi="Times New Roman" w:eastAsia="仿宋_GB2312" w:cs="Times New Roman"/>
          <w:sz w:val="32"/>
          <w:szCs w:val="32"/>
        </w:rPr>
        <w:t>特等奖、一等奖，</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二等奖，</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=0.6；</w:t>
      </w:r>
      <w:r>
        <w:rPr>
          <w:rFonts w:hint="eastAsia" w:ascii="Times New Roman" w:hAnsi="Times New Roman" w:eastAsia="仿宋_GB2312" w:cs="Times New Roman"/>
          <w:sz w:val="32"/>
          <w:szCs w:val="32"/>
        </w:rPr>
        <w:t>三等奖，</w:t>
      </w:r>
      <w:r>
        <w:rPr>
          <w:rFonts w:ascii="Times New Roman" w:hAnsi="Times New Roman" w:eastAsia="仿宋_GB2312" w:cs="Times New Roman"/>
          <w:i/>
          <w:iCs/>
          <w:sz w:val="32"/>
          <w:szCs w:val="32"/>
        </w:rPr>
        <w:t>k</w:t>
      </w:r>
      <w:r>
        <w:rPr>
          <w:rFonts w:ascii="Times New Roman" w:hAnsi="Times New Roman" w:eastAsia="仿宋_GB2312" w:cs="Times New Roman"/>
          <w:sz w:val="32"/>
          <w:szCs w:val="32"/>
        </w:rPr>
        <w:t>=0.3。</w:t>
      </w:r>
      <w:r>
        <w:rPr>
          <w:rFonts w:hint="eastAsia" w:ascii="Times New Roman" w:hAnsi="Times New Roman" w:eastAsia="仿宋_GB2312" w:cs="Times New Roman"/>
          <w:sz w:val="32"/>
          <w:szCs w:val="32"/>
        </w:rPr>
        <w:t>其中团体项目</w:t>
      </w:r>
      <w:r>
        <w:rPr>
          <w:rFonts w:ascii="Times New Roman" w:hAnsi="Times New Roman" w:eastAsia="仿宋_GB2312" w:cs="Times New Roman"/>
          <w:sz w:val="32"/>
          <w:szCs w:val="32"/>
        </w:rPr>
        <w:t>主要负责人</w:t>
      </w:r>
      <w:r>
        <w:rPr>
          <w:rFonts w:ascii="Times New Roman" w:hAnsi="Times New Roman" w:eastAsia="仿宋_GB2312" w:cs="Times New Roman"/>
          <w:i/>
          <w:iCs/>
          <w:sz w:val="32"/>
          <w:szCs w:val="32"/>
        </w:rPr>
        <w:t>p</w:t>
      </w:r>
      <w:r>
        <w:rPr>
          <w:rFonts w:ascii="Times New Roman" w:hAnsi="Times New Roman" w:eastAsia="仿宋_GB2312" w:cs="Times New Roman"/>
          <w:sz w:val="32"/>
          <w:szCs w:val="32"/>
        </w:rPr>
        <w:t>=1，参与成员</w:t>
      </w:r>
      <w:r>
        <w:rPr>
          <w:rFonts w:ascii="Times New Roman" w:hAnsi="Times New Roman" w:eastAsia="仿宋_GB2312" w:cs="Times New Roman"/>
          <w:i/>
          <w:iCs/>
          <w:sz w:val="32"/>
          <w:szCs w:val="32"/>
        </w:rPr>
        <w:t>p</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5。</w:t>
      </w:r>
    </w:p>
    <w:p w14:paraId="07846853">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学科竞赛、征文比赛等不计入此类</w:t>
      </w:r>
      <w:r>
        <w:rPr>
          <w:rFonts w:ascii="Times New Roman" w:hAnsi="Times New Roman" w:eastAsia="仿宋_GB2312" w:cs="Times New Roman"/>
          <w:sz w:val="32"/>
          <w:szCs w:val="32"/>
        </w:rPr>
        <w:t>。</w:t>
      </w:r>
    </w:p>
    <w:p w14:paraId="39FC7280">
      <w:pPr>
        <w:spacing w:after="0" w:line="560" w:lineRule="exact"/>
        <w:ind w:firstLine="640" w:firstLineChars="200"/>
        <w:jc w:val="both"/>
        <w:rPr>
          <w:rFonts w:hint="eastAsia" w:ascii="黑体" w:hAnsi="黑体" w:eastAsia="黑体" w:cs="Times New Roman"/>
          <w:sz w:val="32"/>
          <w:szCs w:val="32"/>
        </w:rPr>
      </w:pPr>
      <w:r>
        <w:rPr>
          <w:rFonts w:hint="eastAsia" w:ascii="黑体" w:hAnsi="黑体" w:eastAsia="黑体" w:cs="Times New Roman"/>
          <w:sz w:val="32"/>
          <w:szCs w:val="32"/>
        </w:rPr>
        <w:t>五、其他</w:t>
      </w:r>
    </w:p>
    <w:p w14:paraId="40202C11">
      <w:pPr>
        <w:spacing w:after="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对本办法未列明，但在思想政治、党建团建、社会服务、社会实践、志愿服务、校园文化、集体建设等方面取得具有突出示范意义或较大社会影响的成果，由申请人提供完整证明材料，经学院研究生</w:t>
      </w:r>
      <w:r>
        <w:rPr>
          <w:rFonts w:hint="eastAsia" w:ascii="Times New Roman" w:hAnsi="Times New Roman" w:eastAsia="仿宋_GB2312" w:cs="Times New Roman"/>
          <w:sz w:val="32"/>
          <w:szCs w:val="32"/>
          <w:lang w:eastAsia="zh-CN"/>
        </w:rPr>
        <w:t>学业奖学金</w:t>
      </w:r>
      <w:r>
        <w:rPr>
          <w:rFonts w:ascii="Times New Roman" w:hAnsi="Times New Roman" w:eastAsia="仿宋_GB2312" w:cs="Times New Roman"/>
          <w:sz w:val="32"/>
          <w:szCs w:val="32"/>
        </w:rPr>
        <w:t>评审委员会研究认定后，可参照同层级、同类型成果确定相应分值。</w:t>
      </w:r>
    </w:p>
    <w:p w14:paraId="0AE41D55">
      <w:pPr>
        <w:spacing w:after="0" w:line="560" w:lineRule="exact"/>
        <w:ind w:firstLine="640" w:firstLineChars="200"/>
        <w:jc w:val="both"/>
        <w:rPr>
          <w:rFonts w:hint="eastAsia" w:ascii="仿宋" w:hAnsi="仿宋" w:eastAsia="仿宋" w:cs="仿宋"/>
          <w:spacing w:val="5"/>
          <w:sz w:val="31"/>
          <w:szCs w:val="31"/>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研究生应自觉遵守国家法律法规和学校、学院各项规章制度，积极履行研究生基本义务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对于学生党员从严要求、从严管理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在日常学习、生活和集体活动中存在不规范行为的，根据实际情况予以扣分。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85"/>
      </w:tblGrid>
      <w:tr w14:paraId="6BE2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01ADB87B">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情形</w:t>
            </w:r>
          </w:p>
        </w:tc>
        <w:tc>
          <w:tcPr>
            <w:tcW w:w="2885" w:type="dxa"/>
            <w:vAlign w:val="center"/>
          </w:tcPr>
          <w:p w14:paraId="008AE795">
            <w:pPr>
              <w:snapToGrid w:val="0"/>
              <w:spacing w:after="0" w:line="240" w:lineRule="auto"/>
              <w:jc w:val="center"/>
              <w:rPr>
                <w:rFonts w:hint="eastAsia" w:ascii="黑体" w:hAnsi="黑体" w:eastAsia="黑体" w:cs="Times New Roman"/>
                <w:sz w:val="32"/>
                <w:szCs w:val="32"/>
              </w:rPr>
            </w:pPr>
            <w:r>
              <w:rPr>
                <w:rFonts w:hint="eastAsia" w:ascii="黑体" w:hAnsi="黑体" w:eastAsia="黑体" w:cs="Times New Roman"/>
                <w:sz w:val="32"/>
                <w:szCs w:val="32"/>
              </w:rPr>
              <w:t>建议扣分</w:t>
            </w:r>
          </w:p>
        </w:tc>
      </w:tr>
      <w:tr w14:paraId="7817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7B03BE2D">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无故</w:t>
            </w:r>
            <w:r>
              <w:rPr>
                <w:rFonts w:hint="eastAsia" w:ascii="Times New Roman" w:hAnsi="Times New Roman" w:eastAsia="仿宋_GB2312" w:cs="Times New Roman"/>
                <w:sz w:val="32"/>
                <w:szCs w:val="32"/>
              </w:rPr>
              <w:t>长期</w:t>
            </w:r>
            <w:r>
              <w:rPr>
                <w:rFonts w:ascii="Times New Roman" w:hAnsi="Times New Roman" w:eastAsia="仿宋_GB2312" w:cs="Times New Roman"/>
                <w:sz w:val="32"/>
                <w:szCs w:val="32"/>
              </w:rPr>
              <w:t>不参加学院、党支部、班级等</w:t>
            </w:r>
            <w:r>
              <w:rPr>
                <w:rFonts w:hint="eastAsia" w:ascii="Times New Roman" w:hAnsi="Times New Roman" w:eastAsia="仿宋_GB2312" w:cs="Times New Roman"/>
                <w:sz w:val="32"/>
                <w:szCs w:val="32"/>
              </w:rPr>
              <w:t>集体活动，未履行请假手续的</w:t>
            </w:r>
          </w:p>
        </w:tc>
        <w:tc>
          <w:tcPr>
            <w:tcW w:w="2885" w:type="dxa"/>
            <w:vAlign w:val="center"/>
          </w:tcPr>
          <w:p w14:paraId="59A3B30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199B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949" w:type="dxa"/>
            <w:vAlign w:val="center"/>
          </w:tcPr>
          <w:p w14:paraId="427022F2">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在学生工作、集体任务中未履行已明确承担的职责，造成一定影响</w:t>
            </w:r>
          </w:p>
        </w:tc>
        <w:tc>
          <w:tcPr>
            <w:tcW w:w="2885" w:type="dxa"/>
            <w:vAlign w:val="center"/>
          </w:tcPr>
          <w:p w14:paraId="62F98623">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p>
        </w:tc>
      </w:tr>
      <w:tr w14:paraId="3783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395F0E09">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未按学校、学院规定履行出京</w:t>
            </w:r>
            <w:r>
              <w:rPr>
                <w:rFonts w:hint="eastAsia" w:ascii="Times New Roman" w:hAnsi="Times New Roman" w:eastAsia="仿宋_GB2312" w:cs="Times New Roman"/>
                <w:sz w:val="32"/>
                <w:szCs w:val="32"/>
              </w:rPr>
              <w:t>、出境</w:t>
            </w:r>
            <w:r>
              <w:rPr>
                <w:rFonts w:ascii="Times New Roman" w:hAnsi="Times New Roman" w:eastAsia="仿宋_GB2312" w:cs="Times New Roman"/>
                <w:sz w:val="32"/>
                <w:szCs w:val="32"/>
              </w:rPr>
              <w:t>请假或报备手续</w:t>
            </w:r>
            <w:r>
              <w:rPr>
                <w:rFonts w:hint="eastAsia" w:ascii="Times New Roman" w:hAnsi="Times New Roman" w:eastAsia="仿宋_GB2312" w:cs="Times New Roman"/>
                <w:sz w:val="32"/>
                <w:szCs w:val="32"/>
              </w:rPr>
              <w:t>的</w:t>
            </w:r>
          </w:p>
        </w:tc>
        <w:tc>
          <w:tcPr>
            <w:tcW w:w="2885" w:type="dxa"/>
            <w:vAlign w:val="center"/>
          </w:tcPr>
          <w:p w14:paraId="0EAA54CD">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r w14:paraId="7847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5C4E26CD">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经正式核实，违反学校网络行为规范、信息发布管理规定等并造成不良影响</w:t>
            </w:r>
          </w:p>
        </w:tc>
        <w:tc>
          <w:tcPr>
            <w:tcW w:w="2885" w:type="dxa"/>
            <w:vAlign w:val="center"/>
          </w:tcPr>
          <w:p w14:paraId="3D3368C7">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p>
        </w:tc>
      </w:tr>
      <w:tr w14:paraId="620A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6A0AF954">
            <w:pPr>
              <w:snapToGrid w:val="0"/>
              <w:spacing w:after="0" w:line="240" w:lineRule="auto"/>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违反实验室安全管理规定，造成一定安全隐患</w:t>
            </w:r>
            <w:r>
              <w:rPr>
                <w:rFonts w:hint="eastAsia" w:ascii="Times New Roman" w:hAnsi="Times New Roman" w:eastAsia="仿宋_GB2312" w:cs="Times New Roman"/>
                <w:sz w:val="32"/>
                <w:szCs w:val="32"/>
              </w:rPr>
              <w:t>提醒后未及时整改的</w:t>
            </w:r>
          </w:p>
        </w:tc>
        <w:tc>
          <w:tcPr>
            <w:tcW w:w="2885" w:type="dxa"/>
            <w:vAlign w:val="center"/>
          </w:tcPr>
          <w:p w14:paraId="420C043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w:t>
            </w:r>
          </w:p>
        </w:tc>
      </w:tr>
      <w:tr w14:paraId="289A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49" w:type="dxa"/>
            <w:vAlign w:val="center"/>
          </w:tcPr>
          <w:p w14:paraId="4FCDE93A">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在保密检查中查实</w:t>
            </w:r>
            <w:r>
              <w:rPr>
                <w:rFonts w:ascii="Times New Roman" w:hAnsi="Times New Roman" w:eastAsia="仿宋_GB2312" w:cs="Times New Roman"/>
                <w:sz w:val="32"/>
                <w:szCs w:val="32"/>
              </w:rPr>
              <w:t>未按规定保管、传递、存储涉密材料</w:t>
            </w:r>
            <w:r>
              <w:rPr>
                <w:rFonts w:hint="eastAsia" w:ascii="Times New Roman" w:hAnsi="Times New Roman" w:eastAsia="仿宋_GB2312" w:cs="Times New Roman"/>
                <w:sz w:val="32"/>
                <w:szCs w:val="32"/>
              </w:rPr>
              <w:t>，随意进出保密室的</w:t>
            </w:r>
          </w:p>
        </w:tc>
        <w:tc>
          <w:tcPr>
            <w:tcW w:w="2885" w:type="dxa"/>
            <w:vAlign w:val="center"/>
          </w:tcPr>
          <w:p w14:paraId="29792C04">
            <w:pPr>
              <w:snapToGrid w:val="0"/>
              <w:spacing w:after="0" w:line="240" w:lineRule="auto"/>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w:t>
            </w:r>
          </w:p>
        </w:tc>
      </w:tr>
    </w:tbl>
    <w:p w14:paraId="295AA677">
      <w:pPr>
        <w:spacing w:after="0" w:line="560" w:lineRule="exact"/>
        <w:jc w:val="both"/>
        <w:rPr>
          <w:rFonts w:ascii="Times New Roman" w:hAnsi="Times New Roman" w:eastAsia="仿宋_GB2312" w:cs="Times New Roman"/>
          <w:sz w:val="32"/>
          <w:szCs w:val="32"/>
        </w:rPr>
      </w:pP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780954"/>
    <w:multiLevelType w:val="multilevel"/>
    <w:tmpl w:val="2D780954"/>
    <w:lvl w:ilvl="0" w:tentative="0">
      <w:start w:val="1"/>
      <w:numFmt w:val="bullet"/>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abstractNum w:abstractNumId="1">
    <w:nsid w:val="50F91C73"/>
    <w:multiLevelType w:val="multilevel"/>
    <w:tmpl w:val="50F91C73"/>
    <w:lvl w:ilvl="0" w:tentative="0">
      <w:start w:val="1"/>
      <w:numFmt w:val="bullet"/>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1B0"/>
    <w:rsid w:val="00011B73"/>
    <w:rsid w:val="00035964"/>
    <w:rsid w:val="00037408"/>
    <w:rsid w:val="00045311"/>
    <w:rsid w:val="00047098"/>
    <w:rsid w:val="00047311"/>
    <w:rsid w:val="00072CC9"/>
    <w:rsid w:val="00087104"/>
    <w:rsid w:val="0009523F"/>
    <w:rsid w:val="00096F75"/>
    <w:rsid w:val="000A3E90"/>
    <w:rsid w:val="000A66EF"/>
    <w:rsid w:val="000B58F7"/>
    <w:rsid w:val="000B711C"/>
    <w:rsid w:val="000C1262"/>
    <w:rsid w:val="000D2CC4"/>
    <w:rsid w:val="000E535E"/>
    <w:rsid w:val="000F32E5"/>
    <w:rsid w:val="00115353"/>
    <w:rsid w:val="00134AC6"/>
    <w:rsid w:val="0018469E"/>
    <w:rsid w:val="001918B0"/>
    <w:rsid w:val="00197FCC"/>
    <w:rsid w:val="001B53E7"/>
    <w:rsid w:val="001F1452"/>
    <w:rsid w:val="001F1A6F"/>
    <w:rsid w:val="00203887"/>
    <w:rsid w:val="0020437C"/>
    <w:rsid w:val="00215863"/>
    <w:rsid w:val="0022370F"/>
    <w:rsid w:val="00230E98"/>
    <w:rsid w:val="002526EB"/>
    <w:rsid w:val="00253880"/>
    <w:rsid w:val="00255C1B"/>
    <w:rsid w:val="00267D29"/>
    <w:rsid w:val="00274CB3"/>
    <w:rsid w:val="002956E8"/>
    <w:rsid w:val="002A3E4F"/>
    <w:rsid w:val="002A53AA"/>
    <w:rsid w:val="002D6767"/>
    <w:rsid w:val="002E19E6"/>
    <w:rsid w:val="002E30F3"/>
    <w:rsid w:val="003034FE"/>
    <w:rsid w:val="00305675"/>
    <w:rsid w:val="003133DA"/>
    <w:rsid w:val="00323FA2"/>
    <w:rsid w:val="00324D6E"/>
    <w:rsid w:val="00332E66"/>
    <w:rsid w:val="00341DF7"/>
    <w:rsid w:val="00355757"/>
    <w:rsid w:val="00357926"/>
    <w:rsid w:val="0037507C"/>
    <w:rsid w:val="003834E2"/>
    <w:rsid w:val="003910F0"/>
    <w:rsid w:val="003B1165"/>
    <w:rsid w:val="003B441C"/>
    <w:rsid w:val="003B50B2"/>
    <w:rsid w:val="003C255E"/>
    <w:rsid w:val="003D357F"/>
    <w:rsid w:val="003F5622"/>
    <w:rsid w:val="00402A3A"/>
    <w:rsid w:val="00415C7A"/>
    <w:rsid w:val="00416A54"/>
    <w:rsid w:val="00425C4F"/>
    <w:rsid w:val="00427C16"/>
    <w:rsid w:val="0043202C"/>
    <w:rsid w:val="0043612E"/>
    <w:rsid w:val="004369D2"/>
    <w:rsid w:val="004823A7"/>
    <w:rsid w:val="004A7768"/>
    <w:rsid w:val="004B1213"/>
    <w:rsid w:val="004D138E"/>
    <w:rsid w:val="004D7651"/>
    <w:rsid w:val="004E6344"/>
    <w:rsid w:val="004F40E6"/>
    <w:rsid w:val="004F6098"/>
    <w:rsid w:val="00501BDA"/>
    <w:rsid w:val="005119EF"/>
    <w:rsid w:val="005266AD"/>
    <w:rsid w:val="00536FCD"/>
    <w:rsid w:val="0054366F"/>
    <w:rsid w:val="00552CDB"/>
    <w:rsid w:val="00557862"/>
    <w:rsid w:val="00564C36"/>
    <w:rsid w:val="005713E1"/>
    <w:rsid w:val="005727F4"/>
    <w:rsid w:val="00584182"/>
    <w:rsid w:val="00587D9D"/>
    <w:rsid w:val="00597078"/>
    <w:rsid w:val="005A2CFA"/>
    <w:rsid w:val="005A439F"/>
    <w:rsid w:val="005A6B9D"/>
    <w:rsid w:val="005C2E78"/>
    <w:rsid w:val="005E33CC"/>
    <w:rsid w:val="0062082C"/>
    <w:rsid w:val="00623A93"/>
    <w:rsid w:val="00623B94"/>
    <w:rsid w:val="00632060"/>
    <w:rsid w:val="0064571A"/>
    <w:rsid w:val="00660E57"/>
    <w:rsid w:val="0067169B"/>
    <w:rsid w:val="00673893"/>
    <w:rsid w:val="006A31B4"/>
    <w:rsid w:val="006A5941"/>
    <w:rsid w:val="006A5A18"/>
    <w:rsid w:val="006A6E2D"/>
    <w:rsid w:val="006B4A29"/>
    <w:rsid w:val="006B706E"/>
    <w:rsid w:val="006C0B08"/>
    <w:rsid w:val="006C26DF"/>
    <w:rsid w:val="006C47BC"/>
    <w:rsid w:val="006D0E88"/>
    <w:rsid w:val="006D5AFA"/>
    <w:rsid w:val="006E7BA0"/>
    <w:rsid w:val="006F0656"/>
    <w:rsid w:val="006F54BE"/>
    <w:rsid w:val="00713EE2"/>
    <w:rsid w:val="00730653"/>
    <w:rsid w:val="007342EE"/>
    <w:rsid w:val="00743C87"/>
    <w:rsid w:val="00745ACA"/>
    <w:rsid w:val="007621B0"/>
    <w:rsid w:val="007A0225"/>
    <w:rsid w:val="007A3850"/>
    <w:rsid w:val="007C3D52"/>
    <w:rsid w:val="007E3690"/>
    <w:rsid w:val="008056D9"/>
    <w:rsid w:val="00812348"/>
    <w:rsid w:val="00816F0F"/>
    <w:rsid w:val="00820457"/>
    <w:rsid w:val="00823252"/>
    <w:rsid w:val="00825FE4"/>
    <w:rsid w:val="00827C93"/>
    <w:rsid w:val="00842760"/>
    <w:rsid w:val="00843326"/>
    <w:rsid w:val="008521FC"/>
    <w:rsid w:val="00855DBC"/>
    <w:rsid w:val="0089610E"/>
    <w:rsid w:val="008A4C89"/>
    <w:rsid w:val="008A5AA4"/>
    <w:rsid w:val="008E04DB"/>
    <w:rsid w:val="008E38C4"/>
    <w:rsid w:val="009015C7"/>
    <w:rsid w:val="00926029"/>
    <w:rsid w:val="009405EE"/>
    <w:rsid w:val="00940938"/>
    <w:rsid w:val="00947937"/>
    <w:rsid w:val="0095318D"/>
    <w:rsid w:val="00954AFB"/>
    <w:rsid w:val="0096732D"/>
    <w:rsid w:val="0098054A"/>
    <w:rsid w:val="00981779"/>
    <w:rsid w:val="00991BC7"/>
    <w:rsid w:val="00992B79"/>
    <w:rsid w:val="00994963"/>
    <w:rsid w:val="00997688"/>
    <w:rsid w:val="00997D88"/>
    <w:rsid w:val="009A764A"/>
    <w:rsid w:val="009A782F"/>
    <w:rsid w:val="009C2141"/>
    <w:rsid w:val="009C4678"/>
    <w:rsid w:val="009C64D5"/>
    <w:rsid w:val="009E084F"/>
    <w:rsid w:val="00A032DE"/>
    <w:rsid w:val="00A03A95"/>
    <w:rsid w:val="00A0696E"/>
    <w:rsid w:val="00A07BDD"/>
    <w:rsid w:val="00A21038"/>
    <w:rsid w:val="00A26657"/>
    <w:rsid w:val="00A369F3"/>
    <w:rsid w:val="00A37255"/>
    <w:rsid w:val="00A429F7"/>
    <w:rsid w:val="00A63CE7"/>
    <w:rsid w:val="00A73D31"/>
    <w:rsid w:val="00A83273"/>
    <w:rsid w:val="00A91928"/>
    <w:rsid w:val="00A95E81"/>
    <w:rsid w:val="00A97A4E"/>
    <w:rsid w:val="00AA4765"/>
    <w:rsid w:val="00AA60B2"/>
    <w:rsid w:val="00AA6DFE"/>
    <w:rsid w:val="00AB2BD7"/>
    <w:rsid w:val="00AB6CA8"/>
    <w:rsid w:val="00AC16BC"/>
    <w:rsid w:val="00AC47DC"/>
    <w:rsid w:val="00AD2B91"/>
    <w:rsid w:val="00AE20E3"/>
    <w:rsid w:val="00AF1FDF"/>
    <w:rsid w:val="00AF5CAD"/>
    <w:rsid w:val="00B04628"/>
    <w:rsid w:val="00B36479"/>
    <w:rsid w:val="00B4037D"/>
    <w:rsid w:val="00B41555"/>
    <w:rsid w:val="00B439E1"/>
    <w:rsid w:val="00B531A8"/>
    <w:rsid w:val="00B66405"/>
    <w:rsid w:val="00B74031"/>
    <w:rsid w:val="00B80B20"/>
    <w:rsid w:val="00B817A9"/>
    <w:rsid w:val="00B97D89"/>
    <w:rsid w:val="00BB1BD3"/>
    <w:rsid w:val="00BB2A19"/>
    <w:rsid w:val="00BB3E6B"/>
    <w:rsid w:val="00BC3150"/>
    <w:rsid w:val="00BC44E8"/>
    <w:rsid w:val="00BC728D"/>
    <w:rsid w:val="00BC7CCF"/>
    <w:rsid w:val="00BD632C"/>
    <w:rsid w:val="00BE4356"/>
    <w:rsid w:val="00BE6806"/>
    <w:rsid w:val="00C01E6B"/>
    <w:rsid w:val="00C06F36"/>
    <w:rsid w:val="00C20B2D"/>
    <w:rsid w:val="00C30760"/>
    <w:rsid w:val="00C3429D"/>
    <w:rsid w:val="00C6684B"/>
    <w:rsid w:val="00C76D08"/>
    <w:rsid w:val="00C76F82"/>
    <w:rsid w:val="00C8581A"/>
    <w:rsid w:val="00C90286"/>
    <w:rsid w:val="00C9297C"/>
    <w:rsid w:val="00C9779B"/>
    <w:rsid w:val="00CB1A18"/>
    <w:rsid w:val="00CC2658"/>
    <w:rsid w:val="00CC36BC"/>
    <w:rsid w:val="00CC7D8C"/>
    <w:rsid w:val="00CD14E8"/>
    <w:rsid w:val="00CD5227"/>
    <w:rsid w:val="00CE1801"/>
    <w:rsid w:val="00CF5E41"/>
    <w:rsid w:val="00D03BDA"/>
    <w:rsid w:val="00D170F2"/>
    <w:rsid w:val="00D30564"/>
    <w:rsid w:val="00D3128B"/>
    <w:rsid w:val="00D45EB6"/>
    <w:rsid w:val="00D460D5"/>
    <w:rsid w:val="00D572D4"/>
    <w:rsid w:val="00D65F67"/>
    <w:rsid w:val="00D71580"/>
    <w:rsid w:val="00D85B5F"/>
    <w:rsid w:val="00D95BC8"/>
    <w:rsid w:val="00DC0792"/>
    <w:rsid w:val="00DD7352"/>
    <w:rsid w:val="00DE2151"/>
    <w:rsid w:val="00DE251F"/>
    <w:rsid w:val="00E0397C"/>
    <w:rsid w:val="00E224C2"/>
    <w:rsid w:val="00E27DA4"/>
    <w:rsid w:val="00E41103"/>
    <w:rsid w:val="00E533EA"/>
    <w:rsid w:val="00E561F4"/>
    <w:rsid w:val="00E629C8"/>
    <w:rsid w:val="00E64775"/>
    <w:rsid w:val="00E7191A"/>
    <w:rsid w:val="00E74B35"/>
    <w:rsid w:val="00E805B9"/>
    <w:rsid w:val="00E94BBB"/>
    <w:rsid w:val="00E95C2C"/>
    <w:rsid w:val="00EA7EB9"/>
    <w:rsid w:val="00EB5000"/>
    <w:rsid w:val="00EC73E9"/>
    <w:rsid w:val="00ED54E5"/>
    <w:rsid w:val="00EE15AF"/>
    <w:rsid w:val="00EF797A"/>
    <w:rsid w:val="00F019BF"/>
    <w:rsid w:val="00F1297C"/>
    <w:rsid w:val="00F42E44"/>
    <w:rsid w:val="00F47333"/>
    <w:rsid w:val="00F52915"/>
    <w:rsid w:val="00F6353A"/>
    <w:rsid w:val="00F83EE3"/>
    <w:rsid w:val="00FA60DB"/>
    <w:rsid w:val="00FC228F"/>
    <w:rsid w:val="00FD51C7"/>
    <w:rsid w:val="017F5714"/>
    <w:rsid w:val="0CEF0CD8"/>
    <w:rsid w:val="15F91433"/>
    <w:rsid w:val="16F13FCB"/>
    <w:rsid w:val="1BAC19F3"/>
    <w:rsid w:val="21291F8D"/>
    <w:rsid w:val="2412693E"/>
    <w:rsid w:val="32C011FF"/>
    <w:rsid w:val="3EC7396A"/>
    <w:rsid w:val="420E4593"/>
    <w:rsid w:val="46DE0780"/>
    <w:rsid w:val="4A6873F9"/>
    <w:rsid w:val="4EC0258C"/>
    <w:rsid w:val="4ECB035B"/>
    <w:rsid w:val="5D962D72"/>
    <w:rsid w:val="5FF76DFD"/>
    <w:rsid w:val="62371A21"/>
    <w:rsid w:val="62417497"/>
    <w:rsid w:val="68C70587"/>
    <w:rsid w:val="6F2020E8"/>
    <w:rsid w:val="76623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rPr>
      <w:rFonts w:ascii="Times New Roman" w:hAnsi="Times New Roman" w:cs="Times New Roman"/>
      <w:sz w:val="24"/>
    </w:rPr>
  </w:style>
  <w:style w:type="paragraph" w:styleId="13">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paragraph" w:customStyle="1" w:styleId="35">
    <w:name w:val="MTDisplayEquation"/>
    <w:basedOn w:val="1"/>
    <w:next w:val="1"/>
    <w:link w:val="36"/>
    <w:qFormat/>
    <w:uiPriority w:val="0"/>
    <w:pPr>
      <w:tabs>
        <w:tab w:val="center" w:pos="4420"/>
        <w:tab w:val="right" w:pos="8840"/>
      </w:tabs>
      <w:spacing w:after="0" w:line="560" w:lineRule="exact"/>
      <w:jc w:val="both"/>
    </w:pPr>
    <w:rPr>
      <w:rFonts w:ascii="Times New Roman" w:hAnsi="Times New Roman" w:eastAsia="仿宋_GB2312" w:cs="Times New Roman"/>
      <w:sz w:val="32"/>
      <w:szCs w:val="32"/>
    </w:rPr>
  </w:style>
  <w:style w:type="character" w:customStyle="1" w:styleId="36">
    <w:name w:val="MTDisplayEquation 字符"/>
    <w:basedOn w:val="16"/>
    <w:link w:val="35"/>
    <w:qFormat/>
    <w:uiPriority w:val="0"/>
    <w:rPr>
      <w:rFonts w:ascii="Times New Roman" w:hAnsi="Times New Roman" w:eastAsia="仿宋_GB2312"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22</Pages>
  <Words>8274</Words>
  <Characters>8644</Characters>
  <Lines>294</Lines>
  <Paragraphs>307</Paragraphs>
  <TotalTime>5</TotalTime>
  <ScaleCrop>false</ScaleCrop>
  <LinksUpToDate>false</LinksUpToDate>
  <CharactersWithSpaces>8679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2026-09-17T08:36:00Z</dcterms:created>
  <dc:creator>泽昊 孙</dc:creator>
  <cp:lastModifiedBy>宛若初</cp:lastModifiedBy>
  <dcterms:modified xsi:type="dcterms:W3CDTF">2026-10-15T04:42:40Z</dcterms:modified>
  <cp:revision>267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TemplateDocerSaveRecord">
    <vt:lpwstr>eyJoZGlkIjoiMGI5NDVhNTM0NzRlMmQ3YWVmNzA1YTcyNzUwMzQ1OTAiLCJ1c2VySWQiOiIzNjMyNzQyNjIifQ==</vt:lpwstr>
  </property>
  <property fmtid="{D5CDD505-2E9C-101B-9397-08002B2CF9AE}" pid="4" name="KSOProductBuildVer">
    <vt:lpwstr>2052-12.1.0.28505</vt:lpwstr>
  </property>
  <property fmtid="{D5CDD505-2E9C-101B-9397-08002B2CF9AE}" pid="5" name="ICV">
    <vt:lpwstr>4D07D57C613F4E40B03B413C57565EE1_13</vt:lpwstr>
  </property>
</Properties>
</file>